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№02-23-193/2023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</w:t>
      </w:r>
      <w:r>
        <w:t xml:space="preserve">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представителя истца – наименование организации; в отсутствие ответчика – </w:t>
      </w:r>
      <w:r>
        <w:t>фио</w:t>
      </w:r>
      <w:r>
        <w:t xml:space="preserve">; 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</w:t>
      </w:r>
      <w:r>
        <w:t xml:space="preserve">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сроков исково</w:t>
      </w:r>
      <w:r>
        <w:t>й давности удовлетворить частично. Применить последствия пропуска срока исковой давности по исковым требованиям за период с дата по дата, в остальной части заявление о пропуске срока исковой давности оставить без удовлетворения.</w:t>
      </w:r>
    </w:p>
    <w:p w:rsidR="00A77B3E">
      <w:r>
        <w:t>Исковое заявление наименова</w:t>
      </w:r>
      <w:r>
        <w:t xml:space="preserve">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(адрес, паспортные данные, СНИЛС телефон </w:t>
      </w:r>
      <w:r>
        <w:t>) в пользу наименование организации (адрес</w:t>
      </w:r>
      <w:r>
        <w:t>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 за пе</w:t>
      </w:r>
      <w:r>
        <w:t>риод с дата по дата в сумме сумма, пеню в сумме сумма производя её начисление по дату фактического исполнения решения суда, исходя из ставки рефинансирования ЦБ РФ, действующей в соответствующий период, а также сумма государственной пошлины за подачу исков</w:t>
      </w:r>
      <w:r>
        <w:t>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</w:t>
      </w:r>
      <w:r>
        <w:t>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</w:t>
      </w:r>
      <w:r>
        <w:t xml:space="preserve">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</w:t>
      </w:r>
      <w:r>
        <w:t>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1D"/>
    <w:rsid w:val="008C1E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