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№2-23-223/2024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помощником судьи фио, с участием лиц:  </w:t>
      </w:r>
    </w:p>
    <w:p w:rsidR="00A77B3E">
      <w:r>
        <w:t xml:space="preserve">представителя истца - наименование организации в лице филиала наименование организации - фио, действующей на основании доверенности, личность установлена по паспорту гражданина Российской Федерации; </w:t>
      </w:r>
    </w:p>
    <w:p w:rsidR="00A77B3E">
      <w:r>
        <w:t xml:space="preserve">ответчика – фио, личность установлена по паспорту гражданина Российской Федерации;  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сроков исковой давности удовлетворить Применить последствия пропуска срока исковой давности по исковым требованиям за период с дата по дата, отказав истцу в удовлетворении искового заявления в этой части.</w:t>
      </w:r>
    </w:p>
    <w:p w:rsidR="00A77B3E">
      <w:r>
        <w:t>Исковое заявление наименование организации в лице филиала наименование организации к фио о взыскании задолженности за потребленную тепловую энергию удовлетворить частично.</w:t>
      </w:r>
    </w:p>
    <w:p w:rsidR="00A77B3E">
      <w:r>
        <w:t>Взыскать с фио (паспортные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пеню в сумме сумма, а также сумма государственной пошлины, за подачу искового заявления. Всего взыскать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