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№02-23-239/2022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представителя ответчика – </w:t>
      </w:r>
      <w:r>
        <w:t>фио</w:t>
      </w:r>
    </w:p>
    <w:p w:rsidR="00A77B3E">
      <w:r>
        <w:t>рассмотрев материалы дела по исковому</w:t>
      </w:r>
      <w:r>
        <w:t xml:space="preserve"> заявлению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</w:t>
      </w:r>
      <w:r>
        <w:t xml:space="preserve">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</w:t>
      </w:r>
      <w:r>
        <w:t>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 за период с дата по дата в сумме сумма, пеню в сум</w:t>
      </w:r>
      <w:r>
        <w:t>ме сумма, а также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</w:t>
      </w:r>
      <w:r>
        <w:t>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</w:t>
      </w:r>
      <w:r>
        <w:t>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в случае,</w:t>
      </w:r>
      <w:r>
        <w:t xml:space="preserve">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4F"/>
    <w:rsid w:val="007662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