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№02-23-402/2023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представителя истца – наименование организации; с участием: ответчика – фио, личность установлена по паспорту гражданина РФ; представителя ответчика – фио, личность установлена по паспорту гражданина РФ; рассмотрев гражданское дело по исковому заявлению наименование организации к фио о взыскании задолженности по оплате жилищно-коммунальных услуг,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фио о применении последствий пропуска срока исковой давности удовлетворить, применить последствия пропуска срока исковой давности по требованиям за период с дата по дата. </w:t>
      </w:r>
    </w:p>
    <w:p w:rsidR="00A77B3E">
      <w:r>
        <w:t xml:space="preserve">наименование организации в удовлетворении искового заявления к фио о взыскании задолженности по оплате жилищно-коммунальных услуг отказать в полном объеме. 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