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02-23-423/2019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/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ФГКУ «Южное региональное уп</w:t>
      </w:r>
      <w:r>
        <w:t>равление жилищного обеспечения»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зарегистрирована и проживает по</w:t>
      </w:r>
      <w:r>
        <w:t xml:space="preserve"> адресу: адрес, </w:t>
      </w:r>
      <w:r>
        <w:t>Кастель</w:t>
      </w:r>
      <w:r>
        <w:t>, в/ч 15013) в пользу Федерального 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</w:t>
      </w:r>
      <w:r>
        <w:t>абжение за период с дата по дата.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зарегистрирована и проживает по адресу: адрес, </w:t>
      </w:r>
      <w:r>
        <w:t>Кастель</w:t>
      </w:r>
      <w:r>
        <w:t>, в/ч 15013) в доход федерального бюджета сумма государственной пошли</w:t>
      </w:r>
      <w:r>
        <w:t>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</w:t>
      </w:r>
      <w:r>
        <w:t>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</w:t>
      </w:r>
      <w:r>
        <w:t xml:space="preserve">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</w:t>
      </w:r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70"/>
    <w:rsid w:val="00A77B3E"/>
    <w:rsid w:val="00AE2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