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№2-23-589/2023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деле:  </w:t>
      </w:r>
    </w:p>
    <w:p w:rsidR="00A77B3E">
      <w:r>
        <w:t xml:space="preserve">представителя истца - наименование организации в лице филиала наименование организации - заявлено ходатайство о рассмотрении дела в отсутствие представителя; </w:t>
      </w:r>
    </w:p>
    <w:p w:rsidR="00A77B3E">
      <w:r>
        <w:t>ответчика – фио;  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сроков исковой давности удовлетворить Применить последствия пропуска срока исковой давности по исковым требованиям за период с дата по дата.</w:t>
      </w:r>
    </w:p>
    <w:p w:rsidR="00A77B3E">
      <w:r>
        <w:t>В удовлетворении искового заявления наименование организации в лице филиала наименование организации к фио о взыскании задолженности за потребленную тепловую энергию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