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02-23-601/2023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</w:t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администратором судебного адрес, с участием представителя истца – фио, действует на основании доверенности 82АА2230141 от дата;  в отсутствие ответчика – фио; рассмотрев материалы гражданского дела по исковому заявлению фио к фио о возмещении ущерба, причиненного имуществу вследствие залива,  руководствуясь ст. ст. 194-199 ГПК РФ, мировой судья</w:t>
      </w:r>
    </w:p>
    <w:p w:rsidR="00A77B3E">
      <w:r>
        <w:t>РЕШИЛ:</w:t>
      </w:r>
    </w:p>
    <w:p w:rsidR="00A77B3E">
      <w:r>
        <w:t>Исковое заявление фио о возмещении ущерба, причиненного имуществу вследствие залива удовлетворить частично.</w:t>
      </w:r>
    </w:p>
    <w:p w:rsidR="00A77B3E">
      <w:r>
        <w:t>Взыскать с фио (адрес) в пользу фио (паспортные данныеадрес, зарегистрированного по адресу: адрес) сумма в счет возмещения ущерба, причинённого заливом квартиры, а также сумма, в счет компенсации морального вреда.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