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№02-23-696/2022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       И.о. мирового судьи судебного участка №23 Алуштинского судебного района (г.адрес) адрес, Мировой судья судебного участка №24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(паспортные данные, ИНН910102936512)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размере5608,сумма,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