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№02-23-747/2024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</w:t>
      </w:r>
    </w:p>
    <w:p w:rsidR="00A77B3E">
      <w:r>
        <w:t xml:space="preserve">          </w:t>
        <w:tab/>
        <w:t>при ведении протокола судебного заседания помощником судьи фио,</w:t>
      </w:r>
    </w:p>
    <w:p w:rsidR="00A77B3E">
      <w:r>
        <w:t>в отсутствие лиц, участвующих в деле: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Сетова фио, повестка возвращена в связи с истечением срока хранения;</w:t>
      </w:r>
    </w:p>
    <w:p w:rsidR="00A77B3E">
      <w:r>
        <w:t>рассмотрев материалы дела по исковому заявлению наименование организации к Сетову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Сетову фио о взыскании задолженности по оплате взносов на капитальный ремонт общего имущества в многоквартирном доме удовлетворить в полном объеме.</w:t>
      </w:r>
    </w:p>
    <w:p w:rsidR="00A77B3E">
      <w:r>
        <w:t>Взыскать с Сетова фио  (024.06.1954 года рождения, паспортные данные, 53)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 за период с дата по дата в сумме сумма, сумма пени, а также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