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№2-23-812/2024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администратором судебного адрес, </w:t>
      </w:r>
    </w:p>
    <w:p w:rsidR="00A77B3E">
      <w:r>
        <w:t xml:space="preserve">в отсутствие лиц, участвующих в деле:  </w:t>
      </w:r>
    </w:p>
    <w:p w:rsidR="00A77B3E">
      <w:r>
        <w:t xml:space="preserve">представителя истца – наименование организации; </w:t>
      </w:r>
    </w:p>
    <w:p w:rsidR="00A77B3E">
      <w:r>
        <w:t>ответчика – фио;  рассмотрев материалы дела по исковому заявлению наименование организации к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пропуска сроков исковой давности удовлетворить.</w:t>
      </w:r>
    </w:p>
    <w:p w:rsidR="00A77B3E">
      <w:r>
        <w:t>В удовлетворении искового заявления наименование организации к фио о взыскании задолженности по договору займа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