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№02-23-895/2025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 xml:space="preserve">в отсутствие представителя истца – наименование организации; </w:t>
      </w:r>
    </w:p>
    <w:p w:rsidR="00A77B3E">
      <w:r>
        <w:t xml:space="preserve">с участием ответчика – фио, личность установлена по паспорту гражданина Российской Федерации;  </w:t>
      </w:r>
    </w:p>
    <w:p w:rsidR="00A77B3E">
      <w:r>
        <w:t>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удовлетворить.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задолженность по уплате взносов на капитальный ремонт общего имущества многоквартирного жилого дома за период с дата по дата в сумме сумма, пени в сумме сумма, а также сумма государственной пошлины за подачу искового заявления.</w:t>
      </w:r>
    </w:p>
    <w:p w:rsidR="00A77B3E">
      <w:r>
        <w:t>Зачесть фио в счет погашения задолженности за период с дата по дата оплату произведенную на основании квитанции №1-телефон-113 от дата на сумму сумма. В этой части решение принудительному исполнению не подлежит.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 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