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№02-23-912/2023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 в отсутствие лиц, участвующих в деле:</w:t>
      </w:r>
    </w:p>
    <w:p w:rsidR="00A77B3E">
      <w:r>
        <w:t>представителя истца – наименование организации; ответчика – фио; рассмотрев материалы дела по исковому заявлению наименование организации к ответчику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 о применении последствий пропуска исковой давности удовлетворить частично, применить последствия пропуска срока исковой давности по требованиям за период с дата по дата, в этой части истцу в удовлетворении исковых требований отказать.</w:t>
      </w:r>
    </w:p>
    <w:p w:rsidR="00A77B3E">
      <w:r>
        <w:t>Исковое заявление наименование организации к фио о взыскании задолженности по оплате взносов на капитальный ремонт общего имущества в многоквартирном доме удовлетворить частично.</w:t>
      </w:r>
    </w:p>
    <w:p w:rsidR="00A77B3E">
      <w:r>
        <w:t>Взыскать с фио (паспортные данные, Заволжье, СНИЛС телефон 76)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дата по дата в сумме сумма, сумма пени, а также сумма государственной пошлины за подачу искового заявления. В удовлетворении остальной части исковых требований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