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№02-23-936/2022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</w:t>
      </w:r>
    </w:p>
    <w:p w:rsidR="00A77B3E">
      <w:r>
        <w:t xml:space="preserve"> в отсутствие лиц, участвующих в деле: представителя истца – наименование организации,  ответчика   – фио, личность установлена по паспорту гражданина Российской Федерации; 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сроков исковой давности удовлетворить частично.</w:t>
      </w:r>
    </w:p>
    <w:p w:rsidR="00A77B3E">
      <w:r>
        <w:t>Применить последствия  пропуска срока исковой давности по исковым требованиям за период с дата по дата.</w:t>
      </w:r>
    </w:p>
    <w:p w:rsidR="00A77B3E">
      <w:r>
        <w:t>Исковое заявление наименование организации к  фио о взыскании задолженности за коммунальные услуги по обращению с твердыми коммунальными отходами удовлетворить частично.</w:t>
      </w:r>
    </w:p>
    <w:p w:rsidR="00A77B3E">
      <w:r>
        <w:t>Взыскать с фио (289540, город алушта, адрес)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в размере сумма, а также расходы по уплате государственной пошлины за подачу искового заявления в сумме сумма. 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 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