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№2-23-1160/2023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                                                                   </w:t>
        <w:tab/>
        <w:t xml:space="preserve">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с участием лиц, участвующих в деле:  </w:t>
      </w:r>
    </w:p>
    <w:p w:rsidR="00A77B3E">
      <w:r>
        <w:t xml:space="preserve">представителя истца – фио, действует на основании доверенности, личность установлена по паспорту гражданина Российской Федерации;  </w:t>
      </w:r>
    </w:p>
    <w:p w:rsidR="00A77B3E">
      <w:r>
        <w:t>ответчика – фио, личность установлена по паспорту гражданина Российской Федерации;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срока исковой давности удовлетворить частично. Применить последствия пропуска срока исковой давности по исковым требованиям за период с дата по дата отказав истцу в этой части исковых требований.</w:t>
      </w:r>
    </w:p>
    <w:p w:rsidR="00A77B3E">
      <w:r>
        <w:t xml:space="preserve"> 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 частично.</w:t>
      </w:r>
    </w:p>
    <w:p w:rsidR="00A77B3E">
      <w:r>
        <w:t>Взыскать с фио (паспортные данные, паспорт гражданина Украины серии ЕС номер телефон, зарегистрирована по адресу: адрес)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