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№02-23-1266/2025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представителя истца – наименование организации; </w:t>
      </w:r>
    </w:p>
    <w:p w:rsidR="00A77B3E">
      <w:r>
        <w:t>с участием ответчика – Ильиной фио, личность установлена по паспорту гражданина Российской Федерации;</w:t>
      </w:r>
    </w:p>
    <w:p w:rsidR="00A77B3E">
      <w:r>
        <w:t xml:space="preserve"> рассмотрев материалы дела по исковому заявлению наименование организации к Ильиной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наименование организации к Ильиной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Ильиной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пею в сумме сумма,  а также государственную пошлину за подачу искового заявления в сумме сумма.</w:t>
      </w:r>
    </w:p>
    <w:p w:rsidR="00A77B3E">
      <w:r>
        <w:t xml:space="preserve">Зачесть Ильиной фио в счет погашения основной задолженности и государственной пошлины оплаты, произведенные дата, дата, дата, дата, дата, на сумму сумма (основная задолженность) рублей и сумма (госпошлина).  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