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</w:t>
      </w:r>
    </w:p>
    <w:p w:rsidR="00A77B3E">
      <w:r>
        <w:t xml:space="preserve">при ведении протокола судебного заседания помощником судьи фио, в отсутствие лиц, участвующих в деле: представителя истца – наименование организации; </w:t>
      </w:r>
    </w:p>
    <w:p w:rsidR="00A77B3E">
      <w:r>
        <w:t xml:space="preserve">ответчика – фио; ответчика – фио; ответчика – фио;  </w:t>
      </w:r>
    </w:p>
    <w:p w:rsidR="00A77B3E">
      <w:r>
        <w:t>рассмотрев материалы дела по исковому заявлению наименование организации к ответчикам: фио, фио,   фио,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фио,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(адрес,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>Взыскать с фио (адрес,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>Взыскать с фио (адрес,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>Взыскать солидарно с фио, фио,   фио государственную пошлину в сумме сумма.</w:t>
      </w:r>
    </w:p>
    <w:p w:rsidR="00A77B3E">
      <w:r>
        <w:t xml:space="preserve">Зачесть фио, фио,   фио в счет погашения суммы основной задолженности, пени и государственной пошлины, оплаты, произведенные дата на общую сумму сумма.  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