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№2-23-1386/2023</w:t>
      </w:r>
    </w:p>
    <w:p w:rsidR="00A77B3E"/>
    <w:p w:rsidR="00A77B3E">
      <w:r>
        <w:t>РЕШЕНИЕ</w:t>
      </w:r>
    </w:p>
    <w:p w:rsidR="00A77B3E">
      <w:r>
        <w:t xml:space="preserve">(ЗАОЧНОЕ)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</w:t>
      </w:r>
    </w:p>
    <w:p w:rsidR="00A77B3E">
      <w:r>
        <w:t>в отсутствие лиц, участвующих в деле:  истца – наименование организации; ответчика – ответчика – фио; рассмотрев материалы гражданского дела по исковому заявлению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наименование организации к фио  о взыскании задолженности по договору займа удовлетворить.</w:t>
      </w:r>
    </w:p>
    <w:p w:rsidR="00A77B3E">
      <w:r>
        <w:t>Взыскать с фио (паспортные данные, адрес, паспортные данные) в пользу наименование организации (адрес Г.О., НОВОСИБИРСК Г, фио, ЗД. 88, ЭТАЖ/ОФИС 2/21, ОГРН: 1195476020343, Дата присвоения ОГРН: дата, ИНН: телефон, КПП: телефон, ГЕНЕРАЛЬНЫЙ ДИРЕКТОР: фио) сумму основной задолженности по договору займа в размере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