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№02-23-1397/2023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фио, при ведении протокола судебного заседания администратором судебного адрес, </w:t>
      </w:r>
    </w:p>
    <w:p w:rsidR="00A77B3E">
      <w:r>
        <w:t>в отсутствие представителя истца – наименование организации;</w:t>
      </w:r>
    </w:p>
    <w:p w:rsidR="00A77B3E">
      <w:r>
        <w:t xml:space="preserve">в отсутствие ответчика – фио,  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сроков исковой давности удовлетворить Применить последствия пропуска срока исковой давности по исковым требованиям за период с дата по дата, отказав истцу в удовлетворении искового заявления в этой части.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 частично.</w:t>
      </w:r>
    </w:p>
    <w:p w:rsidR="00A77B3E">
      <w:r>
        <w:t>Взыскать с фио (паспортные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