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№02-23-1478/2025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ответчиков: Паланской Таскиря Химзяевны, фио, фио; рассмотрев материалы дела по исковому заявлению наименование организации к Паланской Таскиря Химзяевне,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Паланской Таскиря Химзяевны, фио, фио о применении последствий пропуска срока исковой давности оставить без удволетворения.</w:t>
      </w:r>
    </w:p>
    <w:p w:rsidR="00A77B3E">
      <w:r>
        <w:t>Исковое заявление наименование организации к Паланской Таскиря Химзяевне, фио,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Паланской Таскиря Химзяевны (паспортные данные Нижнего Тагила, адрес, 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 сумма.</w:t>
      </w:r>
    </w:p>
    <w:p w:rsidR="00A77B3E">
      <w:r>
        <w:t>Взыскать с фио (паспортные данные, 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пеня сумма.</w:t>
      </w:r>
    </w:p>
    <w:p w:rsidR="00A77B3E">
      <w:r>
        <w:t>Взыскать с фио (паспортные данные, по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 пеню в сумме сумма.</w:t>
      </w:r>
    </w:p>
    <w:p w:rsidR="00A77B3E">
      <w:r>
        <w:t>Взыскать солидарно с Паланской Таскиря Химзяевны, фио, фио судебный расходы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