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2-24-8/2023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ведении протокола судебного заседания помощником судьи – фио, </w:t>
      </w:r>
    </w:p>
    <w:p w:rsidR="00A77B3E">
      <w:r>
        <w:t>рассмотрев в открытом судебном заседании гражданское дело по исковому заявлению Садоводческого наименование организации к фио о взыскании задолженности по ежегодным членским взносам, процентов за пользование чужими денежными средствами, судебных расходов.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Садоводческого наименование организации – удовлетворить в полном объеме.</w:t>
      </w:r>
    </w:p>
    <w:p w:rsidR="00A77B3E">
      <w:r>
        <w:t>Взыскать с фио (паспортные данные, телефон, адрес регистрации: адрес) в пользу Садоводческого наименование организации (ОГРН 1159102069026, ИНН/КПП 9109012473/910901001),</w:t>
      </w:r>
    </w:p>
    <w:p w:rsidR="00A77B3E">
      <w:r>
        <w:t>задолженность по ежегодным членским взносам в размере сумма, процентов за пользование чужими денежными средствами за период с дата по дата в размере сумма, расходы по оплате юридических услуг в размере сумма, расходы по оплате государственной пошлины в размере сумма, а всего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Мировой судья                                                                                фио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