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2-24-19/2018</w:t>
      </w:r>
    </w:p>
    <w:p w:rsidR="00A77B3E">
      <w:r>
        <w:t>ЗАОЧНОЕ РЕШЕНИЕ</w:t>
      </w:r>
    </w:p>
    <w:p w:rsidR="00A77B3E">
      <w:r>
        <w:t xml:space="preserve">                                                              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</w:t>
        <w:tab/>
        <w:tab/>
        <w:tab/>
        <w:tab/>
        <w:tab/>
        <w:tab/>
        <w:t xml:space="preserve">             адрес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при секретаре фио, с участием представителя истца фио, </w:t>
      </w:r>
    </w:p>
    <w:p w:rsidR="00A77B3E">
      <w:r>
        <w:t>рассмотрев в открытом судебном заседании дело по иску фио к наименование организации о защите прав потребителей</w:t>
      </w:r>
    </w:p>
    <w:p w:rsidR="00A77B3E">
      <w:r>
        <w:t xml:space="preserve">Руководствуясь ст. ст. 98, 194-199, 233-235 ГПК РФ,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удовлетворить частично.</w:t>
      </w:r>
    </w:p>
    <w:p w:rsidR="00A77B3E">
      <w:r>
        <w:t>Взыскать с наименование организации в пользу фио страховое возмещение в размере сумма, штраф в размере сумма, неустойку за период с дата по дата в размере сумма, компенсацию морального вреда в размере сумма, расходы по оплате услуг представителя в размере сумма, расходы по оплате услуг нотариуса в размере сумма, расходы по оплате услуг оценщика в размере сумма, почтовые расходы в размере сумма, всего взыскать сумма</w:t>
      </w:r>
    </w:p>
    <w:p w:rsidR="00A77B3E">
      <w:r>
        <w:t>Взыскать с наименование организации в доход бюджета муниципального образования городского адрес государственную пошлину в размере сумма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