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2-24-33/2019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w:t>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Умрихина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1825/ФЛ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70, 71, сект. 19,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34-36), из которых усматривается следующее. Действительно,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92-к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70, 71, сект. 19,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копиями квитанций к приходному кассовому ордеру № 99 от дата и № 150 от дата (л.д. 7). </w:t>
      </w:r>
    </w:p>
    <w:p w:rsidR="00A77B3E">
      <w:r>
        <w:t xml:space="preserve">Довод ответчика о не получении ею денежных средств по договору суд находит несостоятельным, поскольку он опровергается копиями вышеуказанных квитанций, в которых имеется подпись фио о принятии денежных средств. О том, что подпись в указанных квитанциях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на момент возникших правоотношений),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на момент возникших правоотношений),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14-17).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45).</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3).</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1825/ФЛ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 19-25).</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Умрихина фио – удовлетворить в полном объеме.</w:t>
      </w:r>
    </w:p>
    <w:p w:rsidR="00A77B3E">
      <w:r>
        <w:t>Взыскать с фио в пользу Умрихина фио сумму неосновательного обогащения, уплаченную по договору на оказание информационно-консультативных услуг № 92-к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1825/ФЛ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r>
        <w:t>Мировой судья:                                                                 фио</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