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2-24-47/2023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                  фио, с участием ответчика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капитальных ремонт общего имущества в многоквартирном доме и судебных расходов.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частично.</w:t>
      </w:r>
    </w:p>
    <w:p w:rsidR="00A77B3E">
      <w:r>
        <w:t xml:space="preserve">Взыскать с фио (паспортные данные, паспорт гражданина РФ ... серии телефон выдан дата ФМС, код подразделения телефон, зарегистрированной и проживающей по адресу: адрес, адрес), в пользу наименование организации (реквизиты для перечисления задолженности: наименование организации в                          адрес, БИК телефон, ИНН/КПП ...),-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 за период с дата по дата (в пределах срока исковой давности) в размере сумма, пени в размере сумма, с начислением пени с дата до момента фактического исполнения обязательства.</w:t>
      </w:r>
    </w:p>
    <w:p w:rsidR="00A77B3E">
      <w:r>
        <w:t>Взыскать с фио в пользу наименование организации (реквизиты для перечисления государственной пошлины: р/сч № ...), государственную пошлину в размере сумма (сумма прописью).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