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2-24-218/2022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 xml:space="preserve">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 xml:space="preserve">рассмотрев в открытом судебном заседании гражданское дело по исковому заявлению Департамента землепользования адрес к фио о взыскании задолженности по арендной плате и пени.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иска Департамента землепользования адрес к фио – отказать в полном объеме.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</w:t>
        <w:tab/>
        <w:t xml:space="preserve">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