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2-24-360/2019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микрокредитной наименование организации к фио о взыскании долга по договору займа, процентов за пользование займом и судебных расходов по делу.</w:t>
      </w:r>
    </w:p>
    <w:p w:rsidR="00A77B3E">
      <w:r>
        <w:t>Руководствуясь ст. 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микрокредитной наименование организации – удовлетворить в полном объеме.</w:t>
      </w:r>
    </w:p>
    <w:p w:rsidR="00A77B3E">
      <w:r>
        <w:t xml:space="preserve">Взыскать с фио (паспортные данные, место жительства: адрес) в пользу Общества с ограниченной ответственностью микрокредитной наименование организации (место нахождения: адрес; ОГРН ..., ИНН телефон, КПП телефон, р/с ..., к/с ..., БИК телефон, Банк – Северо-западный филиал ПАО РОСБАНК),  </w:t>
      </w:r>
    </w:p>
    <w:p w:rsidR="00A77B3E">
      <w:r>
        <w:t>задолженность по договору займа № ... от дата в размере сумма, проценты за пользование займом – сумма и расходы по оплате государственной пошлины – сумма, а всего –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судья: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