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2-24-391/2021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участии помощника мирового судьи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структурного подразделения – ... наименование организации к фио, фио о взыскании стоимости недоучтенной электрической энергии.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... наименование организации к фио, фио – удовлетворить.</w:t>
      </w:r>
    </w:p>
    <w:p w:rsidR="00A77B3E">
      <w:r>
        <w:t xml:space="preserve">Взыскать солидарно с фио и фио в пользу наименование организации в лице ... наименование организации (место нахождения: адрес. 37, ОКПО телефон, ОГРН 1149102003423, ИНН/КПП: 9102002878/910201001, р/с № 40602810500230020007 отделение РК ЦБ РФ, БИК телефон, Банк получателя: наименование организации, кор.счет 30101810835100000123), - </w:t>
      </w:r>
    </w:p>
    <w:p w:rsidR="00A77B3E">
      <w:r>
        <w:t>стоимость недоучтенной электрической энергии в размере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