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2-24-399/2019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 </w:t>
      </w:r>
    </w:p>
    <w:p w:rsidR="00A77B3E">
      <w:r>
        <w:t>рассмотрев в открытом судебном заседании гражданское дело по исковому заявлению фио к фио о взыскании суммы неосновательного обогащения, процентов за пользование чужими денежными средствами и судебных расходов по делу.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 частично.</w:t>
      </w:r>
    </w:p>
    <w:p w:rsidR="00A77B3E">
      <w:r>
        <w:t>Взыскать с фио в пользу фио сумму неосновательного обогащения, уплаченную по договору аренды жилого помещения от дата, в размере сумма, проценты за пользование чужими денежными средствами за период с дата по дата – сумма, а также судебные расходы по делу, состоящие из оплаты государственной пошлины – сумма, а всего – сумма (сумма прописью).</w:t>
      </w:r>
    </w:p>
    <w:p w:rsidR="00A77B3E">
      <w:r>
        <w:t>В остальной части в удовлетворении исковых требований фио – отказать.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судья: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