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2-24-403/2019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фио, третье лицо – ... о возмещении вреда, причиненного в результате дорожно-транспортного происшествия, в порядке регресса, взыскании судебных расходов.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 в полном объеме.</w:t>
      </w:r>
    </w:p>
    <w:p w:rsidR="00A77B3E">
      <w:r>
        <w:t>Взыскать с фио (паспортные данные, адрес проживания: адрес, адрес) в пользу наименование организации в счет возмещения вреда, причиненного в результате дорожно-транспортного происшествия, в порядке регресса, -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