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2-24-404/2021</w:t>
      </w:r>
    </w:p>
    <w:p w:rsidR="00A77B3E"/>
    <w:p w:rsidR="00A77B3E">
      <w:r>
        <w:t xml:space="preserve">ЗАОЧНОЕ 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</w:t>
        <w:tab/>
        <w:t xml:space="preserve">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участии помощника мирового судьи фио, 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фио, фио, действующей в своих интересах, а также в интересах несовершеннолетней фио, паспортные данные, о взыскании задолженности по оплате услуг по сбору и вывозу твердых коммунальных отходов и судебных расходов. 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– удовлетворить.</w:t>
      </w:r>
    </w:p>
    <w:p w:rsidR="00A77B3E">
      <w:r>
        <w:t>Взыскать солидарно с фио и фио в пользу наименование организации задолженность по оплате услуг по сбору и вывозу твердых коммунальных отходов за период с дата по дата в сумме сумма и расходы по оплате государственной пошлины – сумма, а всего –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/>
    <w:p w:rsidR="00A77B3E">
      <w:r>
        <w:t xml:space="preserve">Мировой судья: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