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2-24-414/2020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участии помощника мирового судьи фио, с участием представителя истца фио, ответчиков фио, фио и фио,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фио, фио фио, фио, фио, действующей в своих интересах, а также в интересах несовершеннолетней фио, о взыскании задолженности по оплате услуг по сбору и вывозу твердых коммунальных отходов.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солидарно с фио Станиславовича, фио, фио фио, фио и фио в пользу наименование организации задолженность по оплате услуг по сбору и вывозу твердых коммунальных отходов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