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2-24-576/2025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данные) в пользу наименование организации (место нахождения:                             адрес, реквизиты для перечисления задолженности: расчетный счет 40603810340080000020 в наименование организации, БИК телефон, к/сч 30101810335100000607, ИНН телефон в наименование организации, (для зачисления на л/с № 1090020709),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сумма, а также расходов по уплате государственной пошлины в размере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