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№2-26-1395/2025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Style w:val="cat-OrganizationNamegrp-17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9"/>
          <w:rFonts w:ascii="Times New Roman" w:eastAsia="Times New Roman" w:hAnsi="Times New Roman" w:cs="Times New Roman"/>
          <w:sz w:val="28"/>
          <w:szCs w:val="28"/>
        </w:rPr>
        <w:t>Ворошеву Д.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7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1"/>
          <w:rFonts w:ascii="Times New Roman" w:eastAsia="Times New Roman" w:hAnsi="Times New Roman" w:cs="Times New Roman"/>
          <w:sz w:val="28"/>
          <w:szCs w:val="28"/>
        </w:rPr>
        <w:t>Ворошеву Д.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удовлетворить.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2"/>
          <w:rFonts w:ascii="Times New Roman" w:eastAsia="Times New Roman" w:hAnsi="Times New Roman" w:cs="Times New Roman"/>
          <w:sz w:val="28"/>
          <w:szCs w:val="28"/>
        </w:rPr>
        <w:t>Ворошева Д.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OrganizationNamegrp-17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3779431 от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основному долгу, </w:t>
      </w:r>
      <w:r>
        <w:rPr>
          <w:rStyle w:val="cat-Sumgrp-13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процентам; расходы по оплате государственной пошлины, в размере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15rplc-2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7rplc-8">
    <w:name w:val="cat-OrganizationName grp-17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OrganizationNamegrp-17rplc-10">
    <w:name w:val="cat-OrganizationName grp-17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17rplc-16">
    <w:name w:val="cat-OrganizationName grp-17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0rplc-26">
    <w:name w:val="cat-FIO grp-1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