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91MS0038-01-2022-003634-16</w:t>
      </w:r>
    </w:p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2-38-17/2023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 января 2023 года 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«Бизнес Экспресс» к </w:t>
      </w:r>
      <w:r>
        <w:rPr>
          <w:sz w:val="26"/>
          <w:szCs w:val="26"/>
        </w:rPr>
        <w:t xml:space="preserve">Кузнецову </w:t>
      </w:r>
      <w:r>
        <w:rPr>
          <w:sz w:val="26"/>
          <w:szCs w:val="26"/>
        </w:rPr>
        <w:t>Владимиру Михайловичу о взыскании стоимости перемещения задержанного транспортного средства на специализированную стоянку, процентов за неисполнение денежного обязательства, судебных расходов,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«Бизнес Экспресс» к Кузнецову Владимиру Михайловичу о взыскании стоимости перемещения задержанного транспортного средства на специализированную стоянку, процентов за неисполнение денежного обязательства, судебных расходов – удовлетворить.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Кузнецова Владимира Михайловича, *** года рождения (водительское удостоверение *** ***, паспорт серии *** номер ***) в пользу Общества с ограниченной ответственностью «Бизнес Экспресс» (ОГРН: ***) стоимость перемещения задержанного транспортного средства на специализированную стоянку в размере *** (***) рубля, проценты за неисполнение денежного обязательства в размере *** (***) рубль *** (***) копеек, всего *** (***) рублей *** (***) копеек.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Кузнецова Владимира Михайловича, *** года рождения (водительское удостоверение *** ***, паспорт серии *** номер ***) в пользу Общества с ограниченной ответственностью «Бизнес Экспресс» (ОГРН: ***) расходы по оплате государственной пошлины в размере *** (***) рублей,</w:t>
      </w:r>
      <w:r>
        <w:t xml:space="preserve"> </w:t>
      </w:r>
      <w:r>
        <w:rPr>
          <w:sz w:val="26"/>
          <w:szCs w:val="26"/>
        </w:rPr>
        <w:t>почтовые расходы в размере *** (***) рублей *** (***) копейки, расходы на оплату услуг представителя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