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172E" w:rsidRPr="00D9172E" w:rsidP="00D9172E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 w:val="20"/>
          <w:szCs w:val="28"/>
          <w:lang w:eastAsia="ru-RU"/>
        </w:rPr>
        <w:t>Дело № 2-44-54/2022</w:t>
      </w:r>
    </w:p>
    <w:p w:rsidR="00D9172E" w:rsidRPr="00D9172E" w:rsidP="00D917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bCs/>
          <w:sz w:val="20"/>
          <w:szCs w:val="28"/>
          <w:lang w:eastAsia="ru-RU"/>
        </w:rPr>
        <w:t>УИД 91MS0044-01-2021-000971-08</w:t>
      </w:r>
    </w:p>
    <w:p w:rsidR="00D9172E" w:rsidRPr="00D9172E" w:rsidP="00D9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p w:rsidR="00D9172E" w:rsidRPr="00D9172E" w:rsidP="00D917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bCs/>
          <w:szCs w:val="28"/>
          <w:lang w:eastAsia="ru-RU"/>
        </w:rPr>
        <w:t>З</w:t>
      </w:r>
      <w:r w:rsidRPr="00D9172E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 А О Ч Н О Е    Р Е Ш Е Н И Е</w:t>
      </w:r>
    </w:p>
    <w:p w:rsidR="00D9172E" w:rsidRPr="00D9172E" w:rsidP="00D917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Именем Российской Федерации</w:t>
      </w:r>
    </w:p>
    <w:p w:rsidR="00D9172E" w:rsidRPr="00D9172E" w:rsidP="00D9172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16 февраля 2022 года                                                                         гор. Керчь</w:t>
      </w:r>
    </w:p>
    <w:p w:rsidR="00D9172E" w:rsidRPr="00D9172E" w:rsidP="00D9172E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D9172E" w:rsidRPr="00D9172E" w:rsidP="00D9172E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Серажединовой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З.Л.,  </w:t>
      </w:r>
    </w:p>
    <w:p w:rsidR="00D9172E" w:rsidRPr="00D9172E" w:rsidP="00D917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Яшникову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C21EE1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коммунальной услуге  теплоснабжения</w:t>
      </w:r>
      <w:r w:rsidRPr="00D9172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,</w:t>
      </w:r>
    </w:p>
    <w:p w:rsidR="00D9172E" w:rsidRPr="00D9172E" w:rsidP="00D9172E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tabs>
          <w:tab w:val="left" w:pos="4118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У С Т А Н О В И Л:</w:t>
      </w:r>
    </w:p>
    <w:p w:rsidR="00D9172E" w:rsidRPr="00D9172E" w:rsidP="00D9172E">
      <w:pPr>
        <w:tabs>
          <w:tab w:val="left" w:pos="4118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11 января 2022 года   ГУП РК «Крымтеплокоммунэнерго» обратилось в суд с иском к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Яшникову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А.А. о взыскании задолженности по коммунальной услуге теплоснабжения за период с 01.01.2019г. по 01.07.2021г. в размере 24504,68 руб., пени в размере 3954,14 руб., государственной пошлины в размере 1053,76 руб., мотивируя свои исковые требования  тем, что ответчик является потребителем тепловой энергии, однако обязательства по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своевременной оплате оказанных услуг не исполняет, в результате чего образовалась задолженность.</w:t>
      </w:r>
    </w:p>
    <w:p w:rsidR="00D9172E" w:rsidRPr="00D9172E" w:rsidP="00D9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D9172E" w:rsidRPr="00D9172E" w:rsidP="00D9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Ответчик в судебное заседание не явился, извещен надлежащим образом, причины неявки суду не сообщил.</w:t>
      </w:r>
    </w:p>
    <w:p w:rsidR="00D9172E" w:rsidRPr="00D9172E" w:rsidP="00D9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Из материалов дела следует, что ответчик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А.А. является собственником жилого помещения – квартиры №2 в многоквартирном жилом доме </w:t>
      </w:r>
      <w:r w:rsidR="00C21EE1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в г. Керчи (л.д.39-45). Указанный многоквартирный дом оборудован системой центрального теплоснабжения,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D9172E" w:rsidRPr="00D9172E" w:rsidP="00D9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Согласно</w:t>
      </w:r>
      <w:r w:rsidRPr="00D9172E">
        <w:rPr>
          <w:rFonts w:ascii="Times New Roman" w:eastAsia="Calibri" w:hAnsi="Times New Roman" w:cs="Times New Roman"/>
          <w:szCs w:val="28"/>
          <w:lang w:eastAsia="ru-RU"/>
        </w:rPr>
        <w:t xml:space="preserve"> копий устава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теплоснабжающей 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пгт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Ленино,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пгт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. Багерово, г.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Щелкино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Согласно ч.1 ст. 15 ФЗ РФ « О теплоснабжении», потребители тепловой энергии приобретают тепловую энергию (мощность) и (или) теплоноситель у теплоснабжающей организации по договору теплоснабжения.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В силу п.5 ст. 15 ФЗ «О теплоснабжении»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теплопотребляющей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установки или тепловой сети потребителя и тепловой сети теплоснабжающей организации или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теплосетевой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организации либо в точке подключения (технологического присоединения) к бесхозяйной тепловой сети.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В соответствии с п. 35 Правил организации теплоснабжения в Российской Федерации, утвержденных постановлением Правительства РФ от 08.08.2012 № 808 (далее - Правила), для заключения договора теплоснабжения с единой теплоснабжающей организацией заявитель направляет единой теплоснабжающей организации заявку заключение договора теплоснабжения. Согласно п. 42 Правил, договор теплоснабжения гражданина - потребителя с единой теплоснабжающей организацией считается заключенным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 даты подключения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его теплоснабжающей установки к системе теплоснабжения.</w:t>
      </w:r>
    </w:p>
    <w:p w:rsid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Учитывая то, что жилое помещение, в котором проживает ответчик, расположено в многоквартирном доме, который оборудован системой централизованного отопления и подключен к сетям централизованного теплоснабжения,  он является потребителем тепловой энергии.</w:t>
      </w:r>
    </w:p>
    <w:p w:rsidR="00D9172E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Согласно положений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статьями 539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- </w:t>
      </w:r>
      <w:hyperlink r:id="rId5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547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настоящего Кодекса. 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539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по договору энергоснабжения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энергоснабжающая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организация обязуется подавать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связанных с потреблением энергии.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539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к отношениям по договору энергоснабжения, не урегулированным настоящим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иными правовыми актами не установлено иное.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540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542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542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в случае нарушения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энергоснабжающей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544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547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(пункт 2 статьи 15)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548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Из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вышеизложенного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следует, что истец добросовестно поставлял тепловую энергию, а ответчик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ее получал. В связи с этим у ответчика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Так как обязательство по оплате тепловой энергии ответчиком не исполнялось, в период с 01.01.2019г. по 01.07.2021 г., образовалась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задолженность в размере 24504,68 руб. </w:t>
      </w:r>
    </w:p>
    <w:p w:rsidR="00D9172E" w:rsidRPr="00D9172E" w:rsidP="00D9172E">
      <w:pPr>
        <w:spacing w:after="0" w:line="240" w:lineRule="auto"/>
        <w:ind w:left="-851" w:right="850" w:firstLine="709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Обязанность граждан своевременно и полностью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вносить плату за жилое помещение и коммунальные услуги установлена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155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ч.1,2 ст. 153 ).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154 ЖК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взнос на капитальный ремонт; плату за коммунальные услуги.  Плата за коммунальные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услуги включает в себя, в том числе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, плату за горячее водоснабжение, отопление (теплоснабжение). 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157 ЖК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предусматривает, что размер платы за коммунальные услуги рассчитывается исходя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309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310 ГК РФ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D9172E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D9172E" w:rsidRPr="00D9172E" w:rsidP="00D9172E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Cs w:val="28"/>
        </w:rPr>
      </w:pPr>
      <w:r w:rsidRPr="00D9172E">
        <w:rPr>
          <w:rFonts w:ascii="Times New Roman" w:hAnsi="Times New Roman" w:cs="Times New Roman"/>
          <w:szCs w:val="28"/>
        </w:rPr>
        <w:t>Размер задолженности ответчика перед истцом за потребленную тепловую энергию подтверждается расчетом к исковому заявлению (л.д.5).</w:t>
      </w:r>
    </w:p>
    <w:p w:rsidR="00D9172E" w:rsidRPr="00D9172E" w:rsidP="00D91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Из указанного расчета усматривается, что за период с 01.01.2019г. по 01.07.2021г. по ул.</w:t>
      </w:r>
      <w:r w:rsidRPr="004F02A8" w:rsidR="004F02A8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F02A8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в г. Керчи  было начислено за отопление 24504,68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С учетом изложенного, суд приходит к выводу, что вследствие неисполнения ответчиком своих обязательств по оплате за использование тепловой энергии, образовалась задолженность за период с 01.01.2019г. по 01.07.2021г. в размере 24504,68 руб., которую ответчик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А.А. в добровольном порядке не оплачивает, в связи с чем,  требования о взыскании основной задолженности по коммунальной услуге теплоснабжения, подлежат удовлетворению. 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     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Удовлетворяя частично исковые требования в части взыскания пени и взыскивая с ответчика в пользу истца  пеню в размере 2620 руб. 83 коп.,  суд исходит из требований п.14  ст. 155 ЖК РФ, согласно которого лица, несвоевременно и (или) не полностью внесшие плату за жилое помещение и 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ставки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рефинансирования Центрального банка</w:t>
      </w: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Российской Федерации, действующей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на день фактической оплаты, от не выплаченной в срок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суммы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стотридцатой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   Из представленной детализации расчета пени по лицевому счету № 555019456/54301, следует, что за период с 01.01.2019г. – 01.07.2021г. сумма пени составила 3954,14 руб. (л.д.6-8).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При этом, суд отказывает во взыскании пени за период с 06.04.2020 года по 01.01.2021 года в размере 1333 руб. 31 коп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сходя из следующего.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</w:t>
      </w:r>
      <w:hyperlink r:id="rId19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Статьей 18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Закона N 98-ФЗ установлено, что до 1 января 2021 г.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 ремонт, установленных жилищным законодательством Российской Федерации, а также взыскания неустойки (штрафа, пени).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       Во исполнение указанной нормы Правительством Российской Федерации принято </w:t>
      </w:r>
      <w:hyperlink r:id="rId20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постановление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Согласно </w:t>
      </w:r>
      <w:hyperlink r:id="rId21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пункту 3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hyperlink r:id="rId22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Пунктом 4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Кроме того, </w:t>
      </w:r>
      <w:hyperlink r:id="rId23" w:history="1">
        <w:r w:rsidRPr="00D9172E">
          <w:rPr>
            <w:rFonts w:ascii="Times New Roman" w:eastAsia="Times New Roman" w:hAnsi="Times New Roman" w:cs="Times New Roman"/>
            <w:color w:val="000000" w:themeColor="text1"/>
            <w:szCs w:val="28"/>
            <w:lang w:eastAsia="ru-RU"/>
          </w:rPr>
          <w:t>пунктом 5</w:t>
        </w:r>
      </w:hyperlink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color w:val="000000" w:themeColor="text1"/>
          <w:szCs w:val="28"/>
          <w:lang w:eastAsia="ru-RU"/>
        </w:rPr>
        <w:t>Таким образом, приостановлено действие порядка начисления (взыскания) неустоек, предусмотренного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D9172E" w:rsidP="00D9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оплате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D9172E">
      <w:pPr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br w:type="page"/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Руководствуясь ст. ст. 194-199, 233-235 </w:t>
      </w:r>
      <w:r w:rsidRPr="00D9172E">
        <w:rPr>
          <w:rFonts w:ascii="Times New Roman" w:eastAsia="Times New Roman" w:hAnsi="Times New Roman" w:cs="Times New Roman"/>
          <w:color w:val="000000"/>
          <w:szCs w:val="28"/>
          <w:lang w:eastAsia="ru-RU"/>
        </w:rPr>
        <w:t>Гражданского процессуального кодекса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РФ, мировой судья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Р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Е Ш И Л :</w:t>
      </w:r>
    </w:p>
    <w:p w:rsidR="00D9172E" w:rsidRPr="00D9172E" w:rsidP="00D9172E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Исковые требования Государственного унитарного предприятия Республики Крым «Крымтеплокоммунэнерго» к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Яшникову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F02A8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о взыскании задолженности по коммунальной услуге  теплоснабжения, удовлетворить частично.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ab/>
        <w:t xml:space="preserve">Взыскать с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Яшникова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F02A8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в пользу Государственного унитарного предприятия Республики Крым «Крымтеплокоммунэнерго» задолженность по коммунальной услуге теплоснабжения за период с 01 января 2019 года по 01 июля 2021 года в размере 24504 (двадцать четыре тысячи пятьсот четыре) руб. 68 (шестьдесят восемь) коп.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     Взыскать с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Яшникова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F02A8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в пользу Государственного унитарного предприятия Республики Крым «Крымтеплокоммунэнерго»  пеню в размере 2620 руб. 83 коп.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    Взыскать с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Яшникова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F02A8">
        <w:rPr>
          <w:rFonts w:ascii="Times New Roman" w:eastAsia="Times New Roman" w:hAnsi="Times New Roman" w:cs="Times New Roman"/>
          <w:szCs w:val="28"/>
          <w:lang w:eastAsia="ru-RU"/>
        </w:rPr>
        <w:t xml:space="preserve">«ИЗЪЯТО»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в пользу Государственного унитарного предприятия Республики Крым «Крымтеплокоммунэнерго»  расходы по оплате государственной пошлины в размере 1013  руб. 77 коп.  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        В удовлетворении исковых требований в части взыскания пени за период с 06.04.2020 года по 01.01.2021года в размере 1333 руб. 31 коп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.,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отказать.  </w:t>
      </w:r>
    </w:p>
    <w:p w:rsidR="00D9172E" w:rsidRPr="00D9172E" w:rsidP="00D9172E">
      <w:pPr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ab/>
        <w:t>В судебном заседании объявлена резолютивная часть решения.</w:t>
      </w:r>
    </w:p>
    <w:p w:rsidR="00D9172E" w:rsidRPr="00D9172E" w:rsidP="00D9172E">
      <w:pPr>
        <w:spacing w:after="0" w:line="240" w:lineRule="auto"/>
        <w:ind w:left="-851" w:right="850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9172E" w:rsidRPr="00D9172E" w:rsidP="00D9172E">
      <w:pPr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9172E" w:rsidRPr="00D9172E" w:rsidP="00D9172E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9172E" w:rsidRPr="00D9172E" w:rsidP="00D9172E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Ответчиком заочное решение суда может быть обжаловано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заявления об отмене этого решения суда.</w:t>
      </w:r>
    </w:p>
    <w:p w:rsidR="00D9172E" w:rsidRPr="00D9172E" w:rsidP="00D9172E">
      <w:pPr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D9172E">
        <w:rPr>
          <w:rFonts w:ascii="Times New Roman" w:eastAsia="Times New Roman" w:hAnsi="Times New Roman" w:cs="Times New Roman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D9172E" w:rsidRPr="00D9172E" w:rsidP="00D9172E">
      <w:pPr>
        <w:autoSpaceDE w:val="0"/>
        <w:autoSpaceDN w:val="0"/>
        <w:adjustRightInd w:val="0"/>
        <w:spacing w:after="0" w:line="240" w:lineRule="auto"/>
        <w:ind w:left="-851" w:right="850" w:firstLine="54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Мотивированное решение изготовлено 22 февраля 2022 года.</w:t>
      </w:r>
    </w:p>
    <w:p w:rsidR="00D9172E" w:rsidRPr="00D9172E" w:rsidP="00D9172E">
      <w:pPr>
        <w:spacing w:after="0" w:line="240" w:lineRule="auto"/>
        <w:ind w:left="-851" w:right="850"/>
        <w:rPr>
          <w:rFonts w:ascii="Times New Roman" w:eastAsia="Times New Roman" w:hAnsi="Times New Roman" w:cs="Times New Roman"/>
          <w:szCs w:val="28"/>
          <w:lang w:eastAsia="ru-RU"/>
        </w:rPr>
      </w:pPr>
    </w:p>
    <w:p w:rsidR="00D9172E" w:rsidRPr="00D9172E" w:rsidP="00D9172E">
      <w:pPr>
        <w:spacing w:after="0" w:line="240" w:lineRule="auto"/>
        <w:ind w:left="-851" w:right="850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9172E">
        <w:rPr>
          <w:rFonts w:ascii="Times New Roman" w:eastAsia="Times New Roman" w:hAnsi="Times New Roman" w:cs="Times New Roman"/>
          <w:szCs w:val="28"/>
          <w:lang w:eastAsia="ru-RU"/>
        </w:rPr>
        <w:t>Мировой судья                                                                 К.Ю. Козлова</w:t>
      </w:r>
    </w:p>
    <w:p w:rsidR="00C21EE1" w:rsidRPr="00407E37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</w:t>
      </w:r>
      <w:r>
        <w:rPr>
          <w:rFonts w:ascii="Times New Roman" w:hAnsi="Times New Roman" w:cs="Times New Roman"/>
          <w:sz w:val="20"/>
          <w:szCs w:val="20"/>
        </w:rPr>
        <w:t>Я</w:t>
      </w:r>
    </w:p>
    <w:p w:rsidR="00C21EE1" w:rsidRPr="00407E37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лингвистический контроль </w:t>
      </w: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C21EE1" w:rsidRPr="00407E37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помощник  мирового судьи </w:t>
      </w:r>
      <w:r w:rsidRPr="00407E3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Серажединова</w:t>
      </w:r>
      <w:r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C21EE1" w:rsidRPr="00407E37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21EE1" w:rsidRPr="00407E37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C21EE1" w:rsidRPr="00407E37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судья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__________________  </w:t>
      </w:r>
      <w:r>
        <w:rPr>
          <w:rFonts w:ascii="Times New Roman" w:hAnsi="Times New Roman" w:cs="Times New Roman"/>
          <w:sz w:val="20"/>
          <w:szCs w:val="20"/>
        </w:rPr>
        <w:t xml:space="preserve"> Козлова К.Ю.</w:t>
      </w:r>
    </w:p>
    <w:p w:rsidR="00C21EE1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21EE1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C21EE1" w:rsidRPr="003F57EA" w:rsidP="00C21EE1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«ИЗЪЯТО»</w:t>
      </w:r>
    </w:p>
    <w:p w:rsidR="00756BCC" w:rsidRPr="00D9172E" w:rsidP="00C21EE1">
      <w:pPr>
        <w:spacing w:after="0" w:line="240" w:lineRule="auto"/>
        <w:rPr>
          <w:sz w:val="18"/>
        </w:rPr>
      </w:pPr>
    </w:p>
    <w:sectPr w:rsidSect="00D9172E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39E"/>
    <w:rsid w:val="0008539E"/>
    <w:rsid w:val="001645C6"/>
    <w:rsid w:val="003F57EA"/>
    <w:rsid w:val="00407E37"/>
    <w:rsid w:val="004F02A8"/>
    <w:rsid w:val="00756BCC"/>
    <w:rsid w:val="00C21EE1"/>
    <w:rsid w:val="00D917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27A7D880A837E7DF5B4BB01769F01CF321318F4F594475A8E69C9BDDDD2C18AA03D06A3339704tC0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DD324B14F6F68B4F5A9B3F98FBt809H" TargetMode="External" /><Relationship Id="rId21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3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