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3AA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0A6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70EF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70EF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 апреля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A70EF4" w:rsidR="00A70EF4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занятости населения»   к  Мельничук Елене Сергеевне   о взыскании  денежных средств</w:t>
      </w:r>
      <w:r w:rsidR="00F43AAC">
        <w:rPr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Мельничук  Елены Сергеевны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Pr="00A70EF4" w:rsidR="00A70EF4">
        <w:rPr>
          <w:rFonts w:ascii="Times New Roman" w:hAnsi="Times New Roman"/>
          <w:sz w:val="28"/>
          <w:szCs w:val="28"/>
        </w:rPr>
        <w:t xml:space="preserve">«Центр занятости населения»   </w:t>
      </w:r>
      <w:r w:rsidR="00A70EF4">
        <w:rPr>
          <w:rFonts w:ascii="Times New Roman" w:hAnsi="Times New Roman"/>
          <w:sz w:val="28"/>
          <w:szCs w:val="28"/>
        </w:rPr>
        <w:t xml:space="preserve"> в счет возмещения  необоснованного полученного пособия по безработице в размере 8903 рубля 22 коп.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Мельничук  Елены Сергеевны    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 в доход местного бюджета расходы на уплату государственной пошлины в размере 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400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рублей.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0EF4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0AC6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08E5-A14F-4B06-8869-08F1D485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