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№2-52-42/2017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                  дата по дата в сумме сумма, и с учетом погашения долга на основании платежа от дата на сумму сумма, окончательная сумма задолженности –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№АЯ011125 от  дата следует, что дата наименование организации предоставило             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(л.д.12, 13).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дата, 915% годовых за период времени с дата по дата в размере сумма, за вычетом частичной их оплаты в размере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               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АР 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№АЯ011125 от дата в размере </w:t>
      </w:r>
    </w:p>
    <w:p w:rsidR="00A77B3E"/>
    <w:p w:rsidR="00A77B3E">
      <w:r>
        <w:t xml:space="preserve">      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АР 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