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№2-52-44/2017 </w:t>
      </w:r>
    </w:p>
    <w:p w:rsidR="00A77B3E">
      <w:r>
        <w:t xml:space="preserve">            РЕШЕНИЕ</w:t>
      </w:r>
    </w:p>
    <w:p w:rsidR="00A77B3E">
      <w:r>
        <w:t xml:space="preserve"> 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ответчика – фио,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на основании договора цессии – удовлетворить.  </w:t>
      </w:r>
    </w:p>
    <w:p w:rsidR="00A77B3E">
      <w:r>
        <w:t xml:space="preserve">         Взыскать с фио, паспортные данные, зарегистрированной и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№АЯ043958 от дата в размере сумма в том числе: основной долг в сумме сумма, проценты за пользование микрозаймом по ставке 347,7%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 xml:space="preserve">Взыскать с фио, паспортные данные, зарегистрированной и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 </w:t>
      </w:r>
    </w:p>
    <w:p w:rsidR="00A77B3E">
      <w:r>
        <w:t>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