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№2-52-76/2017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Эдему Эмирусеиновичу о взыскании задолженности на основании договора цессии,  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 надлежащим образом, о причинах неявки суду не сообщил, рассмотреть дело в его отсутствие не просил.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№АЯ031665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последний был уведомлён по адресу его места регистрации (л.д.13, 14).</w:t>
      </w:r>
    </w:p>
    <w:p w:rsidR="00A77B3E">
      <w:r>
        <w:t>До настоящего времени фио не погасил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 в размере сумма, 915% годовых за период времени с дата по дата в размере сумма в общей сумме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        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Эдему Эмирусеиновичу о взыскании задолженности на основании договора цессии – удовлетворить.  </w:t>
      </w:r>
    </w:p>
    <w:p w:rsidR="00A77B3E">
      <w:r>
        <w:t xml:space="preserve">         Взыскать с фио Эдема Эмирусеиновича,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№АЯ031665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 Эдема Эмирусеиновича,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