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2-52-135/2023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19 апреля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Думану Григорию Владимировичу о взыскании денежных средств по договору займа, судебных расходов, третье лицо, не заявляющее самостоятельных требований относительно предмета спора Думан Марина Николаевна,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Думану Григорию Владимировичу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Думана Григория Владимировича, ... года рождения, уроженца ...  (паспорт гражданина РФ ...), зарегистрированного по адресу: адрес, в пользу Общества с ограниченной ответственностью Микрофинансовая компания «Займер» (...) 10000,00 рублей - сумму основного долга по договору займа № ... от дата; 3000,00 рублей - сумму процентов по договору займа № ... от дата за период с дата по дата; 8345,99 рублей – сумму процентов по договору займа № ... от дата за период с дата по дата; 454,01 рублей – пеню за период с дата по дата; 854,00 рубля - сумму государственной пошлины, а всего 22654 (двадцать две тысячи шестьсот пятьдесят четыре) рубля 00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