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2-52-136/2023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24 марта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Лисняк (Барановой) Виктории Николаевне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Лисняк (Барановой) Виктории Николаевне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Лисняк Виктории Николаевны, ... года рождения, уроженки ... (...), зарегистрированной по адресу: адрес, в пользу Общества с ограниченной ответственностью Микрофинансовая компания «Займер» (...) 6500,00 рублей - сумму основного долга по договору займа № ... от дата; 1430,00 рублей - сумму процентов по договору займа № ... от дата за период с дата по дата; 4457,24 рублей – сумму процентов по договору займа № ... от дата за период с дата по дата; 252,76 рублей – пеню за период с дата по дата; 505,60 рублей - сумму государственной пошлины, а всего 13145 (тринадцать тысяч сто сорок пять) рублей 60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