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2-52-531/2023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24 августа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«Выручай-Деньги» к Максимову Андрею Владимировичу о взыскании неосновательного обогащения,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«Выручай-Деньги» к Максимову Андрею Владимировичу о взыскании неосновательного обогащения, удовлетворить в полном объеме.</w:t>
      </w:r>
    </w:p>
    <w:p w:rsidR="00A77B3E">
      <w:r>
        <w:t xml:space="preserve">Взыскать с Максимова Андрея Владимировича, паспортные данные), зарегистрированного по адресу: ..., в пользу Общества с ограниченной ответственностью Микрокредитная компания «Выручай-Деньги» (ИНН ..., ОГРН ..., юридический адрес: 241035, Брянская обл., г. Брянск, ул. Бурова, д. 20, пом. 1, офис 204) сумму неосновательного обогащения в размере 19000,00 руб.; проценты в порядке ст. 395 ГК РФ за пользование чужими денежными средствами за период с дата по дата в размере 800,34 руб.; расходы по оплате государственной пошлины в размере 792,01 руб., а всего 20592 (двадцать тысяч пятьсот девяносто два) рубля 35 копеек.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