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2-52-733/2023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09 ноября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при ведении протокола судебного заседания секретарем судебного заседания –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Корочинцевой Ксении Вадимовны к Тарадаеву Игорю Андреевичу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Тарадаеву Игорю Андреевичу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Тарадаева Игоря Андреевича, ... года рождения, уроженца ... (паспорт гражданина РФ ...), зарегистрированного по адресу: адрес, в пользу Общества с ограниченной ответственностью Микрофинансовая компания «Займер» (ИНН ..., КПП ..., ОГРН ...) 4055,00 рублей - сумму основного долга по договору займа № ... от дата; 973,20 рублей – сумму процентов по договору займа № № ... от дата за период с дата по дата; 6131,58 рублей - сумму процентов по договору займа № № ... от дата за период с дата по дата; 335,22 рублей – пеню за период с дата по дата; 459,80 рублей - сумму государственной пошлины, а всего 11954 (одиннадцать тысяч девятьсот пятьдесят четыре) рубля 80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