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2-54-608/2020</w:t>
      </w:r>
    </w:p>
    <w:p>
      <w:pPr>
        <w:spacing w:before="0" w:after="0"/>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0054-01-2020-001119-85</w:t>
      </w:r>
    </w:p>
    <w:p>
      <w:pPr>
        <w:keepNext/>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jc w:val="center"/>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полный текст изготовлен 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декабря</w:t>
      </w:r>
      <w:r>
        <w:rPr>
          <w:rFonts w:ascii="Times New Roman" w:eastAsia="Times New Roman" w:hAnsi="Times New Roman" w:cs="Times New Roman"/>
          <w:sz w:val="28"/>
          <w:szCs w:val="28"/>
        </w:rPr>
        <w:t xml:space="preserve"> 2020 года</w:t>
      </w:r>
      <w:r>
        <w:rPr>
          <w:rFonts w:ascii="Times New Roman" w:eastAsia="Times New Roman" w:hAnsi="Times New Roman" w:cs="Times New Roman"/>
          <w:sz w:val="28"/>
          <w:szCs w:val="28"/>
        </w:rPr>
        <w:t>)</w:t>
      </w:r>
    </w:p>
    <w:p>
      <w:pPr>
        <w:spacing w:before="0" w:after="0"/>
        <w:rPr>
          <w:sz w:val="28"/>
          <w:szCs w:val="28"/>
        </w:rPr>
      </w:pPr>
    </w:p>
    <w:p>
      <w:pPr>
        <w:spacing w:before="0" w:after="0"/>
        <w:ind w:firstLine="708"/>
        <w:rPr>
          <w:sz w:val="28"/>
          <w:szCs w:val="28"/>
        </w:rPr>
      </w:pPr>
      <w:r>
        <w:rPr>
          <w:rFonts w:ascii="Times New Roman" w:eastAsia="Times New Roman" w:hAnsi="Times New Roman" w:cs="Times New Roman"/>
          <w:sz w:val="28"/>
          <w:szCs w:val="28"/>
        </w:rPr>
        <w:t>02 декабря 2020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w:t>
      </w:r>
    </w:p>
    <w:p>
      <w:pPr>
        <w:spacing w:before="0" w:after="0"/>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ировой судья судебного участка № 54 Красногвардейского судебного района Республики Крым Чернецкая И.В., </w:t>
      </w:r>
    </w:p>
    <w:p>
      <w:pPr>
        <w:spacing w:before="0" w:after="0"/>
        <w:jc w:val="both"/>
        <w:rPr>
          <w:sz w:val="28"/>
          <w:szCs w:val="28"/>
        </w:rPr>
      </w:pPr>
      <w:r>
        <w:rPr>
          <w:rFonts w:ascii="Times New Roman" w:eastAsia="Times New Roman" w:hAnsi="Times New Roman" w:cs="Times New Roman"/>
          <w:sz w:val="28"/>
          <w:szCs w:val="28"/>
        </w:rPr>
        <w:t>при секретаре Шульге Н.Е.,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в открытом судебном заседании в зале суда гражданское дело по иску Общества с ограниченной ответственностью </w:t>
      </w:r>
      <w:r>
        <w:rPr>
          <w:rFonts w:ascii="Times New Roman" w:eastAsia="Times New Roman" w:hAnsi="Times New Roman" w:cs="Times New Roman"/>
          <w:sz w:val="28"/>
          <w:szCs w:val="28"/>
        </w:rPr>
        <w:t>микрокредитной</w:t>
      </w:r>
      <w:r>
        <w:rPr>
          <w:rFonts w:ascii="Times New Roman" w:eastAsia="Times New Roman" w:hAnsi="Times New Roman" w:cs="Times New Roman"/>
          <w:sz w:val="28"/>
          <w:szCs w:val="28"/>
        </w:rPr>
        <w:t xml:space="preserve"> компании «</w:t>
      </w:r>
      <w:r>
        <w:rPr>
          <w:rFonts w:ascii="Times New Roman" w:eastAsia="Times New Roman" w:hAnsi="Times New Roman" w:cs="Times New Roman"/>
          <w:sz w:val="28"/>
          <w:szCs w:val="28"/>
        </w:rPr>
        <w:t>Центрофинанс</w:t>
      </w:r>
      <w:r>
        <w:rPr>
          <w:rFonts w:ascii="Times New Roman" w:eastAsia="Times New Roman" w:hAnsi="Times New Roman" w:cs="Times New Roman"/>
          <w:sz w:val="28"/>
          <w:szCs w:val="28"/>
        </w:rPr>
        <w:t xml:space="preserve"> Групп» к </w:t>
      </w:r>
      <w:r>
        <w:rPr>
          <w:rStyle w:val="cat-FIOgrp-20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процентов, и пени (неустойка),</w:t>
      </w:r>
      <w:r>
        <w:rPr>
          <w:rFonts w:ascii="Times New Roman" w:eastAsia="Times New Roman" w:hAnsi="Times New Roman" w:cs="Times New Roman"/>
          <w:sz w:val="28"/>
          <w:szCs w:val="28"/>
        </w:rPr>
        <w:t xml:space="preserve">   </w:t>
      </w:r>
    </w:p>
    <w:p>
      <w:pPr>
        <w:spacing w:before="0" w:after="0"/>
        <w:ind w:firstLine="708"/>
        <w:jc w:val="center"/>
        <w:rPr>
          <w:sz w:val="28"/>
          <w:szCs w:val="28"/>
        </w:rPr>
      </w:pPr>
      <w:r>
        <w:rPr>
          <w:rFonts w:ascii="Times New Roman" w:eastAsia="Times New Roman" w:hAnsi="Times New Roman" w:cs="Times New Roman"/>
          <w:sz w:val="28"/>
          <w:szCs w:val="28"/>
        </w:rPr>
        <w:t>УСТАНОВИЛ:</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2020 года мировому судье судебного участка № 5</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Красногвардейского судебного района Республики Крым поступило </w:t>
      </w:r>
      <w:r>
        <w:rPr>
          <w:rFonts w:ascii="Times New Roman" w:eastAsia="Times New Roman" w:hAnsi="Times New Roman" w:cs="Times New Roman"/>
          <w:sz w:val="28"/>
          <w:szCs w:val="28"/>
        </w:rPr>
        <w:t xml:space="preserve">исковое </w:t>
      </w:r>
      <w:r>
        <w:rPr>
          <w:rFonts w:ascii="Times New Roman" w:eastAsia="Times New Roman" w:hAnsi="Times New Roman" w:cs="Times New Roman"/>
          <w:sz w:val="28"/>
          <w:szCs w:val="28"/>
        </w:rPr>
        <w:t xml:space="preserve">заявление </w:t>
      </w:r>
      <w:r>
        <w:rPr>
          <w:rFonts w:ascii="Times New Roman" w:eastAsia="Times New Roman" w:hAnsi="Times New Roman" w:cs="Times New Roman"/>
          <w:sz w:val="28"/>
          <w:szCs w:val="28"/>
        </w:rPr>
        <w:t xml:space="preserve">Общества с ограниченной ответственностью </w:t>
      </w:r>
      <w:r>
        <w:rPr>
          <w:rFonts w:ascii="Times New Roman" w:eastAsia="Times New Roman" w:hAnsi="Times New Roman" w:cs="Times New Roman"/>
          <w:sz w:val="28"/>
          <w:szCs w:val="28"/>
        </w:rPr>
        <w:t>микрокредитной</w:t>
      </w:r>
      <w:r>
        <w:rPr>
          <w:rFonts w:ascii="Times New Roman" w:eastAsia="Times New Roman" w:hAnsi="Times New Roman" w:cs="Times New Roman"/>
          <w:sz w:val="28"/>
          <w:szCs w:val="28"/>
        </w:rPr>
        <w:t xml:space="preserve"> компании «</w:t>
      </w:r>
      <w:r>
        <w:rPr>
          <w:rFonts w:ascii="Times New Roman" w:eastAsia="Times New Roman" w:hAnsi="Times New Roman" w:cs="Times New Roman"/>
          <w:sz w:val="28"/>
          <w:szCs w:val="28"/>
        </w:rPr>
        <w:t>Центрофинанс</w:t>
      </w:r>
      <w:r>
        <w:rPr>
          <w:rFonts w:ascii="Times New Roman" w:eastAsia="Times New Roman" w:hAnsi="Times New Roman" w:cs="Times New Roman"/>
          <w:sz w:val="28"/>
          <w:szCs w:val="28"/>
        </w:rPr>
        <w:t xml:space="preserve"> Групп» к </w:t>
      </w:r>
      <w:r>
        <w:rPr>
          <w:rStyle w:val="cat-FIOgrp-20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процентов, и пени (неустойка)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Требования мотивированы тем, что </w:t>
      </w:r>
      <w:r>
        <w:rPr>
          <w:rStyle w:val="cat-Dategrp-5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FIOgrp-21rplc-1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ООО</w:t>
      </w:r>
      <w:r>
        <w:rPr>
          <w:rFonts w:ascii="Times New Roman" w:eastAsia="Times New Roman" w:hAnsi="Times New Roman" w:cs="Times New Roman"/>
          <w:sz w:val="28"/>
          <w:szCs w:val="28"/>
        </w:rPr>
        <w:t xml:space="preserve"> МКК «</w:t>
      </w:r>
      <w:r>
        <w:rPr>
          <w:rFonts w:ascii="Times New Roman" w:eastAsia="Times New Roman" w:hAnsi="Times New Roman" w:cs="Times New Roman"/>
          <w:sz w:val="28"/>
          <w:szCs w:val="28"/>
        </w:rPr>
        <w:t>Центрофинанс</w:t>
      </w:r>
      <w:r>
        <w:rPr>
          <w:rFonts w:ascii="Times New Roman" w:eastAsia="Times New Roman" w:hAnsi="Times New Roman" w:cs="Times New Roman"/>
          <w:sz w:val="28"/>
          <w:szCs w:val="28"/>
        </w:rPr>
        <w:t xml:space="preserve"> Групп» заключ</w:t>
      </w:r>
      <w:r>
        <w:rPr>
          <w:rFonts w:ascii="Times New Roman" w:eastAsia="Times New Roman" w:hAnsi="Times New Roman" w:cs="Times New Roman"/>
          <w:sz w:val="28"/>
          <w:szCs w:val="28"/>
        </w:rPr>
        <w:t>ен</w:t>
      </w:r>
      <w:r>
        <w:rPr>
          <w:rFonts w:ascii="Times New Roman" w:eastAsia="Times New Roman" w:hAnsi="Times New Roman" w:cs="Times New Roman"/>
          <w:sz w:val="28"/>
          <w:szCs w:val="28"/>
        </w:rPr>
        <w:t xml:space="preserve"> договор займа № ЦЗКРД102590, согласно которо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w:t>
      </w:r>
      <w:r>
        <w:rPr>
          <w:rStyle w:val="cat-FIOgrp-21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получила заем в размере </w:t>
      </w:r>
      <w:r>
        <w:rPr>
          <w:rStyle w:val="cat-Sumgrp-24rplc-1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условием начисления процентов в размере 255,5%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годовых от суммы займа. При этом Должник принял на себя обязательства возвратить указанную сумму и проценты в срок до </w:t>
      </w:r>
      <w:r>
        <w:rPr>
          <w:rStyle w:val="cat-Dategrp-6rplc-1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связи с ненадлежащим исполнением договорных обязательств образовалась задолженность по договору в размере </w:t>
      </w:r>
      <w:r>
        <w:rPr>
          <w:rStyle w:val="cat-Sumgrp-25rplc-2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них: </w:t>
      </w:r>
      <w:r>
        <w:rPr>
          <w:rStyle w:val="cat-Sumgrp-24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основного долга; 7203,67руб. – проценты за пользование займом; </w:t>
      </w:r>
      <w:r>
        <w:rPr>
          <w:rStyle w:val="cat-Sumgrp-26rplc-2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неустойка.</w:t>
      </w:r>
    </w:p>
    <w:p>
      <w:pPr>
        <w:spacing w:before="0" w:after="0"/>
        <w:ind w:firstLine="708"/>
        <w:jc w:val="both"/>
        <w:rPr>
          <w:sz w:val="28"/>
          <w:szCs w:val="28"/>
        </w:rPr>
      </w:pPr>
      <w:r>
        <w:rPr>
          <w:rFonts w:ascii="Times New Roman" w:eastAsia="Times New Roman" w:hAnsi="Times New Roman" w:cs="Times New Roman"/>
          <w:sz w:val="28"/>
          <w:szCs w:val="28"/>
        </w:rPr>
        <w:t>В связи с чем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истец просит взыскать с ответчика сумму задолженности по договору займа № ЦЗКРД102590 от </w:t>
      </w:r>
      <w:r>
        <w:rPr>
          <w:rStyle w:val="cat-Dategrp-7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размере </w:t>
      </w:r>
      <w:r>
        <w:rPr>
          <w:rStyle w:val="cat-Sumgrp-25rplc-2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государственную пошлину в размере </w:t>
      </w:r>
      <w:r>
        <w:rPr>
          <w:rStyle w:val="cat-Sumgrp-27rplc-2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уплаченную при подаче иска.</w:t>
      </w:r>
    </w:p>
    <w:p>
      <w:pPr>
        <w:spacing w:before="0" w:after="0"/>
        <w:ind w:firstLine="708"/>
        <w:jc w:val="both"/>
        <w:rPr>
          <w:sz w:val="28"/>
          <w:szCs w:val="28"/>
        </w:rPr>
      </w:pPr>
      <w:r>
        <w:rPr>
          <w:rFonts w:ascii="Times New Roman" w:eastAsia="Times New Roman" w:hAnsi="Times New Roman" w:cs="Times New Roman"/>
          <w:sz w:val="28"/>
          <w:szCs w:val="28"/>
        </w:rPr>
        <w:t xml:space="preserve">Основанием для обращения в суд с исковыми требованиями послужила отмена судебного приказа </w:t>
      </w:r>
      <w:r>
        <w:rPr>
          <w:rStyle w:val="cat-Dategrp-8rplc-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Определением мирового судьи от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.2020 года </w:t>
      </w:r>
      <w:r>
        <w:rPr>
          <w:rFonts w:ascii="Times New Roman" w:eastAsia="Times New Roman" w:hAnsi="Times New Roman" w:cs="Times New Roman"/>
          <w:sz w:val="28"/>
          <w:szCs w:val="28"/>
        </w:rPr>
        <w:t>исковое заявление</w:t>
      </w:r>
      <w:r>
        <w:rPr>
          <w:rFonts w:ascii="Times New Roman" w:eastAsia="Times New Roman" w:hAnsi="Times New Roman" w:cs="Times New Roman"/>
          <w:sz w:val="28"/>
          <w:szCs w:val="28"/>
        </w:rPr>
        <w:t xml:space="preserve"> принято к производству.</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представитель истца не явился, о времени и месте рассмотрения дела извещен надлежащим образом, в исковом заявлении просили рассмотреть дело без участия представителя.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Ответчик </w:t>
      </w:r>
      <w:r>
        <w:rPr>
          <w:rStyle w:val="cat-FIOgrp-21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также не явилась, о времени и месте рассмотрения дела извещалась надлежащим образом, </w:t>
      </w:r>
      <w:r>
        <w:rPr>
          <w:rFonts w:ascii="Times New Roman" w:eastAsia="Times New Roman" w:hAnsi="Times New Roman" w:cs="Times New Roman"/>
          <w:sz w:val="28"/>
          <w:szCs w:val="28"/>
        </w:rPr>
        <w:t>причины неявки суду не сообщила, заявлений об отложении суду не поступало.</w:t>
      </w:r>
    </w:p>
    <w:p>
      <w:pPr>
        <w:spacing w:before="0" w:after="0"/>
        <w:ind w:firstLine="708"/>
        <w:jc w:val="both"/>
        <w:rPr>
          <w:sz w:val="28"/>
          <w:szCs w:val="28"/>
        </w:rPr>
      </w:pPr>
      <w:r>
        <w:rPr>
          <w:rFonts w:ascii="Times New Roman" w:eastAsia="Times New Roman" w:hAnsi="Times New Roman" w:cs="Times New Roman"/>
          <w:sz w:val="28"/>
          <w:szCs w:val="28"/>
        </w:rPr>
        <w:t>На основании ст. 167 ГПК РФ дело рассмотрено без участия представителя истца</w:t>
      </w:r>
      <w:r>
        <w:rPr>
          <w:rFonts w:ascii="Times New Roman" w:eastAsia="Times New Roman" w:hAnsi="Times New Roman" w:cs="Times New Roman"/>
          <w:sz w:val="28"/>
          <w:szCs w:val="28"/>
        </w:rPr>
        <w:t xml:space="preserve"> и ответчика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Исследовав письменные доказательства по делу, судья приходит к следующему.</w:t>
      </w:r>
    </w:p>
    <w:p>
      <w:pPr>
        <w:spacing w:before="0" w:after="0"/>
        <w:ind w:firstLine="708"/>
        <w:jc w:val="both"/>
        <w:rPr>
          <w:sz w:val="28"/>
          <w:szCs w:val="28"/>
        </w:rPr>
      </w:pPr>
      <w:r>
        <w:rPr>
          <w:rFonts w:ascii="Times New Roman" w:eastAsia="Times New Roman" w:hAnsi="Times New Roman" w:cs="Times New Roman"/>
          <w:sz w:val="28"/>
          <w:szCs w:val="28"/>
        </w:rPr>
        <w:t xml:space="preserve">Как следует из материалов дела, </w:t>
      </w:r>
      <w:r>
        <w:rPr>
          <w:rStyle w:val="cat-Dategrp-5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w:t>
      </w:r>
      <w:r>
        <w:rPr>
          <w:rFonts w:ascii="Times New Roman" w:eastAsia="Times New Roman" w:hAnsi="Times New Roman" w:cs="Times New Roman"/>
          <w:sz w:val="28"/>
          <w:szCs w:val="28"/>
        </w:rPr>
        <w:t>у ООО</w:t>
      </w:r>
      <w:r>
        <w:rPr>
          <w:rFonts w:ascii="Times New Roman" w:eastAsia="Times New Roman" w:hAnsi="Times New Roman" w:cs="Times New Roman"/>
          <w:sz w:val="28"/>
          <w:szCs w:val="28"/>
        </w:rPr>
        <w:t xml:space="preserve"> МКК «</w:t>
      </w:r>
      <w:r>
        <w:rPr>
          <w:rFonts w:ascii="Times New Roman" w:eastAsia="Times New Roman" w:hAnsi="Times New Roman" w:cs="Times New Roman"/>
          <w:sz w:val="28"/>
          <w:szCs w:val="28"/>
        </w:rPr>
        <w:t>Центрофинанс</w:t>
      </w:r>
      <w:r>
        <w:rPr>
          <w:rFonts w:ascii="Times New Roman" w:eastAsia="Times New Roman" w:hAnsi="Times New Roman" w:cs="Times New Roman"/>
          <w:sz w:val="28"/>
          <w:szCs w:val="28"/>
        </w:rPr>
        <w:t xml:space="preserve"> Групп</w:t>
      </w:r>
      <w:r>
        <w:rPr>
          <w:rFonts w:ascii="Times New Roman" w:eastAsia="Times New Roman" w:hAnsi="Times New Roman" w:cs="Times New Roman"/>
          <w:sz w:val="28"/>
          <w:szCs w:val="28"/>
        </w:rPr>
        <w:t xml:space="preserve">» и ответчиком </w:t>
      </w:r>
      <w:r>
        <w:rPr>
          <w:rStyle w:val="cat-FIOgrp-21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заключен договор займа № </w:t>
      </w:r>
      <w:r>
        <w:rPr>
          <w:rFonts w:ascii="Times New Roman" w:eastAsia="Times New Roman" w:hAnsi="Times New Roman" w:cs="Times New Roman"/>
          <w:sz w:val="28"/>
          <w:szCs w:val="28"/>
        </w:rPr>
        <w:t>ЦЗКРД102590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условиям указанного договора должник получила заем в размере </w:t>
      </w:r>
      <w:r>
        <w:rPr>
          <w:rStyle w:val="cat-Sumgrp-24rplc-3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условием начисления процентов в размере </w:t>
      </w:r>
      <w:r>
        <w:rPr>
          <w:rFonts w:ascii="Times New Roman" w:eastAsia="Times New Roman" w:hAnsi="Times New Roman" w:cs="Times New Roman"/>
          <w:sz w:val="28"/>
          <w:szCs w:val="28"/>
        </w:rPr>
        <w:t>255,500</w:t>
      </w:r>
      <w:r>
        <w:rPr>
          <w:rFonts w:ascii="Times New Roman" w:eastAsia="Times New Roman" w:hAnsi="Times New Roman" w:cs="Times New Roman"/>
          <w:sz w:val="28"/>
          <w:szCs w:val="28"/>
        </w:rPr>
        <w:t xml:space="preserve">% годовых, сроком возврата до </w:t>
      </w:r>
      <w:r>
        <w:rPr>
          <w:rStyle w:val="cat-Dategrp-6rplc-3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Полная стоимость займа составляет </w:t>
      </w:r>
      <w:r>
        <w:rPr>
          <w:rStyle w:val="cat-Sumgrp-28rplc-3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Разрешая спор, мировой судья исходит из следующего.</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Гражданский процессуальный кодекс Российской Федерации, регламентируя судебный процесс, наряду с правами его участников предполагает наличие у них определенных обязанностей, в том числе обязанности добросовестно пользоваться своими правами (ст. 35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Гражданского процессуального кодекса Российской Федерации).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этом реализация права на судебную защиту одних участников процесса не должна ставиться в зависимость от исполнения либо неисполнения своих прав и обязанностей другими участниками процесса.</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ст. 10 Гражданского кодекса Российской Федерации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случае несоблюдения требований, предусмотренных пунктом 1 настоящей статьи, суд, может отказать лицу в защите принадлежащего ему права.</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w:t>
      </w:r>
      <w:r>
        <w:rPr>
          <w:rFonts w:ascii="Times New Roman" w:eastAsia="Times New Roman" w:hAnsi="Times New Roman" w:cs="Times New Roman"/>
          <w:sz w:val="28"/>
          <w:szCs w:val="28"/>
        </w:rPr>
        <w:t xml:space="preserve"> предусмотрено федеральным законом.</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со ст. 421 Гражданского кодекса Российской Федерации граждане и юридические лица свободны в заключени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договора.</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силу ч.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которыми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w:t>
      </w:r>
      <w:r>
        <w:rPr>
          <w:rFonts w:ascii="Times New Roman" w:eastAsia="Times New Roman" w:hAnsi="Times New Roman" w:cs="Times New Roman"/>
          <w:sz w:val="28"/>
          <w:szCs w:val="28"/>
        </w:rPr>
        <w:t>условия, относительно которых по</w:t>
      </w:r>
      <w:r>
        <w:rPr>
          <w:rFonts w:ascii="Times New Roman" w:eastAsia="Times New Roman" w:hAnsi="Times New Roman" w:cs="Times New Roman"/>
          <w:sz w:val="28"/>
          <w:szCs w:val="28"/>
        </w:rPr>
        <w:t xml:space="preserve"> заявлению одной из сторон должно быть достигнуто соглашение.</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 14 ст. 7 Федерального закона от </w:t>
      </w:r>
      <w:r>
        <w:rPr>
          <w:rStyle w:val="cat-Dategrp-10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N 353-ФЗ «О потребительском кредите (займе)»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w:t>
      </w:r>
      <w:r>
        <w:rPr>
          <w:rFonts w:ascii="Times New Roman" w:eastAsia="Times New Roman" w:hAnsi="Times New Roman" w:cs="Times New Roman"/>
          <w:sz w:val="28"/>
          <w:szCs w:val="28"/>
        </w:rPr>
        <w:t xml:space="preserve"> с 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заемщиком может быть заключен договор потребительского кредита (займа) и который определяется в соответствии с настоящим Федеральным законом.</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Федеральным законом от 06.04.2011 N 63-ФЗ «Об электронной подписи» регулируются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усматривается из договора займа и заявления на получение займа они были подписаны истцом с помощью электронно-цифровой подписи (аналогом его собственноручной подписи), </w:t>
      </w:r>
      <w:r>
        <w:rPr>
          <w:rFonts w:ascii="Times New Roman" w:eastAsia="Times New Roman" w:hAnsi="Times New Roman" w:cs="Times New Roman"/>
          <w:sz w:val="28"/>
          <w:szCs w:val="28"/>
        </w:rPr>
        <w:t>присвоенную</w:t>
      </w:r>
      <w:r>
        <w:rPr>
          <w:rFonts w:ascii="Times New Roman" w:eastAsia="Times New Roman" w:hAnsi="Times New Roman" w:cs="Times New Roman"/>
          <w:sz w:val="28"/>
          <w:szCs w:val="28"/>
        </w:rPr>
        <w:t xml:space="preserve"> ей в автоматическом режиме в результате прохождения ответчиком процедуры регистрации в своем «личном кабинете» на официальном сайте истца. После проверки предоставленных данных клиента, сотрудник истца производил контрольные сообщения на номер телефона ответчика, указанный ею в заявлении на получение займа (+7978</w:t>
      </w:r>
      <w:r>
        <w:rPr>
          <w:rFonts w:ascii="Times New Roman" w:eastAsia="Times New Roman" w:hAnsi="Times New Roman" w:cs="Times New Roman"/>
          <w:sz w:val="28"/>
          <w:szCs w:val="28"/>
        </w:rPr>
        <w:t>0976212</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7-</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Ответчица была ознакомлена с Правилами предоставления и сопровождения </w:t>
      </w:r>
      <w:r>
        <w:rPr>
          <w:rFonts w:ascii="Times New Roman" w:eastAsia="Times New Roman" w:hAnsi="Times New Roman" w:cs="Times New Roman"/>
          <w:sz w:val="28"/>
          <w:szCs w:val="28"/>
        </w:rPr>
        <w:t>микрозаймов</w:t>
      </w:r>
      <w:r>
        <w:rPr>
          <w:rFonts w:ascii="Times New Roman" w:eastAsia="Times New Roman" w:hAnsi="Times New Roman" w:cs="Times New Roman"/>
          <w:sz w:val="28"/>
          <w:szCs w:val="28"/>
        </w:rPr>
        <w:t>, после чего с ней был заключен договор потребительского займа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подписанный электронно-цифровой подписью в соответствии с ФЗ «Об электронно-цифровой подписи» и ГК РФ. После чего, в указанный ответчиком способ, денежные средства были перечислены системой платежей «Контакт», по возврату которых ответчик свои обязательства не исполнила, уклоняясь от погашения задолженности.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Частью 1 ст. 807 Гражданского кодекса Российской Федерации предусмотрено, что по договору займа одна сторона передает в собственность другой стороне деньги, а заемщик обязуется возвратить заимодавцу такую же сумму денег.</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Договор займа считается заключенным с момента передачи денег.</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расходного кассового ордера </w:t>
      </w:r>
      <w:r>
        <w:rPr>
          <w:rStyle w:val="cat-FIOgrp-21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денежные средства получила </w:t>
      </w:r>
      <w:r>
        <w:rPr>
          <w:rStyle w:val="cat-Dategrp-5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17).</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ч. 1 ст.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w:t>
      </w:r>
      <w:r>
        <w:rPr>
          <w:rFonts w:ascii="Times New Roman" w:eastAsia="Times New Roman" w:hAnsi="Times New Roman" w:cs="Times New Roman"/>
          <w:sz w:val="28"/>
          <w:szCs w:val="28"/>
        </w:rPr>
        <w:t>При отсутствии в договоре условия о размере процентов их разм</w:t>
      </w:r>
      <w:r>
        <w:rPr>
          <w:rFonts w:ascii="Times New Roman" w:eastAsia="Times New Roman" w:hAnsi="Times New Roman" w:cs="Times New Roman"/>
          <w:sz w:val="28"/>
          <w:szCs w:val="28"/>
        </w:rPr>
        <w:t>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Заемщик обязан возвратить заимодавцу полученную сумму займа в срок и в порядке, которые предусмотрены договором займа (ст. 810 Гражданского кодекса Российской Федерации).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положениям ч. 2 ст. 811 Гражданского кодекса Российской Федерации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заимодавец вправе потребовать досрочного возврата всей оставшейся суммы займа вместе с причитающимися процентами.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со ст. ст. 309, 310 Гражданского кодекса Российской Федерации обязательства должны исполняться надлежащим образом. Односторонний отказ от исполнения обязательства и одностороннее изменение его условий не допускаются.</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 4 ч. 1 ст. 2 Федерального закона от 02.07.2010 года № 151-ФЗ «О </w:t>
      </w:r>
      <w:r>
        <w:rPr>
          <w:rFonts w:ascii="Times New Roman" w:eastAsia="Times New Roman" w:hAnsi="Times New Roman" w:cs="Times New Roman"/>
          <w:sz w:val="28"/>
          <w:szCs w:val="28"/>
        </w:rPr>
        <w:t>микрофинансовой</w:t>
      </w:r>
      <w:r>
        <w:rPr>
          <w:rFonts w:ascii="Times New Roman" w:eastAsia="Times New Roman" w:hAnsi="Times New Roman" w:cs="Times New Roman"/>
          <w:sz w:val="28"/>
          <w:szCs w:val="28"/>
        </w:rPr>
        <w:t xml:space="preserve"> деятельности и </w:t>
      </w:r>
      <w:r>
        <w:rPr>
          <w:rFonts w:ascii="Times New Roman" w:eastAsia="Times New Roman" w:hAnsi="Times New Roman" w:cs="Times New Roman"/>
          <w:sz w:val="28"/>
          <w:szCs w:val="28"/>
        </w:rPr>
        <w:t>микрофинансовых</w:t>
      </w:r>
      <w:r>
        <w:rPr>
          <w:rFonts w:ascii="Times New Roman" w:eastAsia="Times New Roman" w:hAnsi="Times New Roman" w:cs="Times New Roman"/>
          <w:sz w:val="28"/>
          <w:szCs w:val="28"/>
        </w:rPr>
        <w:t xml:space="preserve"> организациях» предусмотрено, что договор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xml:space="preserve">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Исходя из императивных требований к порядку и условиям заключения договора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xml:space="preserve">, предусмотренных Федеральным законом N 151-ФЗ, денежные обязательства заемщика по договору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xml:space="preserve"> имеют срочный характер и ограничены установленными этим законом предельными суммами основного долга, процентов за пользование </w:t>
      </w:r>
      <w:r>
        <w:rPr>
          <w:rFonts w:ascii="Times New Roman" w:eastAsia="Times New Roman" w:hAnsi="Times New Roman" w:cs="Times New Roman"/>
          <w:sz w:val="28"/>
          <w:szCs w:val="28"/>
        </w:rPr>
        <w:t>микрозаймом</w:t>
      </w:r>
      <w:r>
        <w:rPr>
          <w:rFonts w:ascii="Times New Roman" w:eastAsia="Times New Roman" w:hAnsi="Times New Roman" w:cs="Times New Roman"/>
          <w:sz w:val="28"/>
          <w:szCs w:val="28"/>
        </w:rPr>
        <w:t xml:space="preserve"> и ответственности заемщика.</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2, 3 ст. 12.1 Федерального закона от 02.07.2010 N 151-ФЗ (в </w:t>
      </w:r>
      <w:r>
        <w:rPr>
          <w:rFonts w:ascii="Times New Roman" w:eastAsia="Times New Roman" w:hAnsi="Times New Roman" w:cs="Times New Roman"/>
          <w:sz w:val="28"/>
          <w:szCs w:val="28"/>
        </w:rPr>
        <w:t>редакции</w:t>
      </w:r>
      <w:r>
        <w:rPr>
          <w:rFonts w:ascii="Times New Roman" w:eastAsia="Times New Roman" w:hAnsi="Times New Roman" w:cs="Times New Roman"/>
          <w:sz w:val="28"/>
          <w:szCs w:val="28"/>
        </w:rPr>
        <w:t xml:space="preserve"> действующей на момент подписания договора от </w:t>
      </w:r>
      <w:r>
        <w:rPr>
          <w:rStyle w:val="cat-Dategrp-14rplc-4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w:t>
      </w:r>
      <w:r>
        <w:rPr>
          <w:rFonts w:ascii="Times New Roman" w:eastAsia="Times New Roman" w:hAnsi="Times New Roman" w:cs="Times New Roman"/>
          <w:sz w:val="28"/>
          <w:szCs w:val="28"/>
        </w:rPr>
        <w:t>микрофинансовой</w:t>
      </w:r>
      <w:r>
        <w:rPr>
          <w:rFonts w:ascii="Times New Roman" w:eastAsia="Times New Roman" w:hAnsi="Times New Roman" w:cs="Times New Roman"/>
          <w:sz w:val="28"/>
          <w:szCs w:val="28"/>
        </w:rPr>
        <w:t xml:space="preserve"> деятельности и </w:t>
      </w:r>
      <w:r>
        <w:rPr>
          <w:rFonts w:ascii="Times New Roman" w:eastAsia="Times New Roman" w:hAnsi="Times New Roman" w:cs="Times New Roman"/>
          <w:sz w:val="28"/>
          <w:szCs w:val="28"/>
        </w:rPr>
        <w:t>микрофинансовых</w:t>
      </w:r>
      <w:r>
        <w:rPr>
          <w:rFonts w:ascii="Times New Roman" w:eastAsia="Times New Roman" w:hAnsi="Times New Roman" w:cs="Times New Roman"/>
          <w:sz w:val="28"/>
          <w:szCs w:val="28"/>
        </w:rPr>
        <w:t xml:space="preserve"> организациях" (с изм. и доп., вступ. в силу с </w:t>
      </w:r>
      <w:r>
        <w:rPr>
          <w:rStyle w:val="cat-Dategrp-15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ascii="Times New Roman" w:eastAsia="Times New Roman" w:hAnsi="Times New Roman" w:cs="Times New Roman"/>
          <w:sz w:val="28"/>
          <w:szCs w:val="28"/>
        </w:rPr>
        <w:t>микрофинансовая</w:t>
      </w:r>
      <w:r>
        <w:rPr>
          <w:rFonts w:ascii="Times New Roman" w:eastAsia="Times New Roman" w:hAnsi="Times New Roman" w:cs="Times New Roman"/>
          <w:sz w:val="28"/>
          <w:szCs w:val="28"/>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w:t>
      </w:r>
      <w:r>
        <w:rPr>
          <w:rFonts w:ascii="Times New Roman" w:eastAsia="Times New Roman" w:hAnsi="Times New Roman" w:cs="Times New Roman"/>
          <w:sz w:val="28"/>
          <w:szCs w:val="28"/>
        </w:rPr>
        <w:t xml:space="preserve">основного долга. Условия, указанные в части 2 настоящей статьи, должны быть указаны </w:t>
      </w:r>
      <w:r>
        <w:rPr>
          <w:rFonts w:ascii="Times New Roman" w:eastAsia="Times New Roman" w:hAnsi="Times New Roman" w:cs="Times New Roman"/>
          <w:sz w:val="28"/>
          <w:szCs w:val="28"/>
        </w:rPr>
        <w:t>микрофинансовой</w:t>
      </w:r>
      <w:r>
        <w:rPr>
          <w:rFonts w:ascii="Times New Roman" w:eastAsia="Times New Roman" w:hAnsi="Times New Roman" w:cs="Times New Roman"/>
          <w:sz w:val="28"/>
          <w:szCs w:val="28"/>
        </w:rP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для </w:t>
      </w:r>
      <w:r>
        <w:rPr>
          <w:rFonts w:ascii="Times New Roman" w:eastAsia="Times New Roman" w:hAnsi="Times New Roman" w:cs="Times New Roman"/>
          <w:sz w:val="28"/>
          <w:szCs w:val="28"/>
        </w:rPr>
        <w:t>микрофинансовых</w:t>
      </w:r>
      <w:r>
        <w:rPr>
          <w:rFonts w:ascii="Times New Roman" w:eastAsia="Times New Roman" w:hAnsi="Times New Roman" w:cs="Times New Roman"/>
          <w:sz w:val="28"/>
          <w:szCs w:val="28"/>
        </w:rPr>
        <w:t xml:space="preserve"> организаций предусмотрен запрет на начисление заемщику - физическому лицу процентов и иных платежей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Данное требование закона воспроизведено в п. 12 текста рассматриваемого договора потребительского займа и составляет 20% </w:t>
      </w:r>
      <w:r>
        <w:rPr>
          <w:rFonts w:ascii="Times New Roman" w:eastAsia="Times New Roman" w:hAnsi="Times New Roman" w:cs="Times New Roman"/>
          <w:sz w:val="28"/>
          <w:szCs w:val="28"/>
        </w:rPr>
        <w:t>годовых</w:t>
      </w:r>
      <w:r>
        <w:rPr>
          <w:rFonts w:ascii="Times New Roman" w:eastAsia="Times New Roman" w:hAnsi="Times New Roman" w:cs="Times New Roman"/>
          <w:sz w:val="28"/>
          <w:szCs w:val="28"/>
        </w:rPr>
        <w:t xml:space="preserve"> от непогашенной заемщиком суммы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основного долга за каждый день нарушения обязательства. </w:t>
      </w:r>
    </w:p>
    <w:p>
      <w:pPr>
        <w:spacing w:before="0" w:after="0"/>
        <w:ind w:firstLine="708"/>
        <w:jc w:val="both"/>
        <w:rPr>
          <w:sz w:val="28"/>
          <w:szCs w:val="28"/>
        </w:rPr>
      </w:pPr>
      <w:r>
        <w:rPr>
          <w:rFonts w:ascii="Times New Roman" w:eastAsia="Times New Roman" w:hAnsi="Times New Roman" w:cs="Times New Roman"/>
          <w:sz w:val="28"/>
          <w:szCs w:val="28"/>
        </w:rPr>
        <w:t>Учитывая изложенное, суд приходит к выводу о том, что проценты в размере 2</w:t>
      </w:r>
      <w:r>
        <w:rPr>
          <w:rFonts w:ascii="Times New Roman" w:eastAsia="Times New Roman" w:hAnsi="Times New Roman" w:cs="Times New Roman"/>
          <w:sz w:val="28"/>
          <w:szCs w:val="28"/>
        </w:rPr>
        <w:t>55,500</w:t>
      </w:r>
      <w:r>
        <w:rPr>
          <w:rFonts w:ascii="Times New Roman" w:eastAsia="Times New Roman" w:hAnsi="Times New Roman" w:cs="Times New Roman"/>
          <w:sz w:val="28"/>
          <w:szCs w:val="28"/>
        </w:rPr>
        <w:t xml:space="preserve"> % годовых подлежат взысканию только за период с </w:t>
      </w:r>
      <w:r>
        <w:rPr>
          <w:rStyle w:val="cat-Dategrp-5rplc-4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до </w:t>
      </w:r>
      <w:r>
        <w:rPr>
          <w:rStyle w:val="cat-Dategrp-6rplc-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что указано в договоре займа №ЦЗ</w:t>
      </w:r>
      <w:r>
        <w:rPr>
          <w:rFonts w:ascii="Times New Roman" w:eastAsia="Times New Roman" w:hAnsi="Times New Roman" w:cs="Times New Roman"/>
          <w:sz w:val="28"/>
          <w:szCs w:val="28"/>
        </w:rPr>
        <w:t>КРД102590</w:t>
      </w:r>
      <w:r>
        <w:rPr>
          <w:rFonts w:ascii="Times New Roman" w:eastAsia="Times New Roman" w:hAnsi="Times New Roman" w:cs="Times New Roman"/>
          <w:sz w:val="28"/>
          <w:szCs w:val="28"/>
        </w:rPr>
        <w:t xml:space="preserve"> от </w:t>
      </w:r>
      <w:r>
        <w:rPr>
          <w:rStyle w:val="cat-Dategrp-6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 а так же взысканию подлежат штрафные санкций за н</w:t>
      </w:r>
      <w:r>
        <w:rPr>
          <w:rFonts w:ascii="Times New Roman" w:eastAsia="Times New Roman" w:hAnsi="Times New Roman" w:cs="Times New Roman"/>
          <w:sz w:val="28"/>
          <w:szCs w:val="28"/>
        </w:rPr>
        <w:t xml:space="preserve">енадлежащее исполнение договора, предусмотренные п. 12 указанного договора </w:t>
      </w:r>
      <w:r>
        <w:rPr>
          <w:rFonts w:ascii="Times New Roman" w:eastAsia="Times New Roman" w:hAnsi="Times New Roman" w:cs="Times New Roman"/>
          <w:sz w:val="28"/>
          <w:szCs w:val="28"/>
        </w:rPr>
        <w:t>в размере 20% годовых от непогашенной заемщиком части суммы основного</w:t>
      </w:r>
      <w:r>
        <w:rPr>
          <w:rFonts w:ascii="Times New Roman" w:eastAsia="Times New Roman" w:hAnsi="Times New Roman" w:cs="Times New Roman"/>
          <w:sz w:val="28"/>
          <w:szCs w:val="28"/>
        </w:rPr>
        <w:t xml:space="preserve"> долга за каждый день нарушения обязательств, согласно</w:t>
      </w:r>
      <w:r>
        <w:rPr>
          <w:rFonts w:ascii="Times New Roman" w:eastAsia="Times New Roman" w:hAnsi="Times New Roman" w:cs="Times New Roman"/>
          <w:sz w:val="28"/>
          <w:szCs w:val="28"/>
        </w:rPr>
        <w:t xml:space="preserve"> которому ответчик получил заем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Кроме того на основании ч. 1 ст.?98 ГПК РФ?суд взыскивает с ответчика в пользу истца понесенные судебные расходы по уплате государственной пошлины пропорционально удовлетворенным требованиям, и представительские расходы. </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w:t>
      </w:r>
      <w:r>
        <w:rPr>
          <w:rFonts w:ascii="Times New Roman" w:eastAsia="Times New Roman" w:hAnsi="Times New Roman" w:cs="Times New Roman"/>
          <w:sz w:val="28"/>
          <w:szCs w:val="28"/>
        </w:rPr>
        <w:t>изложенного</w:t>
      </w:r>
      <w:r>
        <w:rPr>
          <w:rFonts w:ascii="Times New Roman" w:eastAsia="Times New Roman" w:hAnsi="Times New Roman" w:cs="Times New Roman"/>
          <w:sz w:val="28"/>
          <w:szCs w:val="28"/>
        </w:rPr>
        <w:t>, руководствуясь статьями 39, 56, 57, 167, 194-199 ГПК РФ, судья</w:t>
      </w:r>
      <w:r>
        <w:rPr>
          <w:rFonts w:ascii="Times New Roman" w:eastAsia="Times New Roman" w:hAnsi="Times New Roman" w:cs="Times New Roman"/>
          <w:sz w:val="28"/>
          <w:szCs w:val="28"/>
        </w:rPr>
        <w:t>,</w:t>
      </w:r>
    </w:p>
    <w:p>
      <w:pPr>
        <w:spacing w:before="0" w:after="0"/>
        <w:ind w:firstLine="708"/>
        <w:jc w:val="center"/>
        <w:rPr>
          <w:sz w:val="28"/>
          <w:szCs w:val="28"/>
        </w:rPr>
      </w:pPr>
      <w:r>
        <w:rPr>
          <w:rFonts w:ascii="Times New Roman" w:eastAsia="Times New Roman" w:hAnsi="Times New Roman" w:cs="Times New Roman"/>
          <w:sz w:val="28"/>
          <w:szCs w:val="28"/>
        </w:rPr>
        <w:t>РЕШИЛ:</w:t>
      </w:r>
    </w:p>
    <w:p>
      <w:pPr>
        <w:spacing w:before="0" w:after="0"/>
        <w:ind w:firstLine="708"/>
        <w:jc w:val="both"/>
        <w:rPr>
          <w:sz w:val="28"/>
          <w:szCs w:val="28"/>
        </w:rPr>
      </w:pPr>
      <w:r>
        <w:rPr>
          <w:rFonts w:ascii="Times New Roman" w:eastAsia="Times New Roman" w:hAnsi="Times New Roman" w:cs="Times New Roman"/>
          <w:sz w:val="28"/>
          <w:szCs w:val="28"/>
        </w:rPr>
        <w:t xml:space="preserve">Исковые требования Общества с ограниченной ответственностью </w:t>
      </w:r>
      <w:r>
        <w:rPr>
          <w:rFonts w:ascii="Times New Roman" w:eastAsia="Times New Roman" w:hAnsi="Times New Roman" w:cs="Times New Roman"/>
          <w:sz w:val="28"/>
          <w:szCs w:val="28"/>
        </w:rPr>
        <w:t>микрокредитной</w:t>
      </w:r>
      <w:r>
        <w:rPr>
          <w:rFonts w:ascii="Times New Roman" w:eastAsia="Times New Roman" w:hAnsi="Times New Roman" w:cs="Times New Roman"/>
          <w:sz w:val="28"/>
          <w:szCs w:val="28"/>
        </w:rPr>
        <w:t xml:space="preserve"> компании «</w:t>
      </w:r>
      <w:r>
        <w:rPr>
          <w:rFonts w:ascii="Times New Roman" w:eastAsia="Times New Roman" w:hAnsi="Times New Roman" w:cs="Times New Roman"/>
          <w:sz w:val="28"/>
          <w:szCs w:val="28"/>
        </w:rPr>
        <w:t>Центрофинанс</w:t>
      </w:r>
      <w:r>
        <w:rPr>
          <w:rFonts w:ascii="Times New Roman" w:eastAsia="Times New Roman" w:hAnsi="Times New Roman" w:cs="Times New Roman"/>
          <w:sz w:val="28"/>
          <w:szCs w:val="28"/>
        </w:rPr>
        <w:t xml:space="preserve"> Групп» к </w:t>
      </w:r>
      <w:r>
        <w:rPr>
          <w:rStyle w:val="cat-FIOgrp-20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процентов, и пени (неустойка), - удовлетворить частично.</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Взыскать с </w:t>
      </w:r>
      <w:r>
        <w:rPr>
          <w:rStyle w:val="cat-FIOgrp-22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PassportDatagrp-36rplc-4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УССР, гражданки Российской Федерации (</w:t>
      </w:r>
      <w:r>
        <w:rPr>
          <w:rStyle w:val="cat-PassportDatagrp-37rplc-50"/>
          <w:rFonts w:ascii="Times New Roman" w:eastAsia="Times New Roman" w:hAnsi="Times New Roman" w:cs="Times New Roman"/>
          <w:sz w:val="28"/>
          <w:szCs w:val="28"/>
        </w:rPr>
        <w:t>паспортные данные</w:t>
      </w:r>
      <w:r>
        <w:rPr>
          <w:rStyle w:val="cat-ExternalSystemDefinedgrp-42rplc-51"/>
          <w:rFonts w:ascii="Times New Roman" w:eastAsia="Times New Roman" w:hAnsi="Times New Roman" w:cs="Times New Roman"/>
          <w:sz w:val="28"/>
          <w:szCs w:val="28"/>
        </w:rPr>
        <w:t>...</w:t>
      </w:r>
      <w:r>
        <w:rPr>
          <w:rStyle w:val="cat-ExternalSystemDefinedgrp-44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пользу Общества с ограниченной ответственностью </w:t>
      </w:r>
      <w:r>
        <w:rPr>
          <w:rFonts w:ascii="Times New Roman" w:eastAsia="Times New Roman" w:hAnsi="Times New Roman" w:cs="Times New Roman"/>
          <w:sz w:val="28"/>
          <w:szCs w:val="28"/>
        </w:rPr>
        <w:t>микрокредитной</w:t>
      </w:r>
      <w:r>
        <w:rPr>
          <w:rFonts w:ascii="Times New Roman" w:eastAsia="Times New Roman" w:hAnsi="Times New Roman" w:cs="Times New Roman"/>
          <w:sz w:val="28"/>
          <w:szCs w:val="28"/>
        </w:rPr>
        <w:t xml:space="preserve"> компании «</w:t>
      </w:r>
      <w:r>
        <w:rPr>
          <w:rFonts w:ascii="Times New Roman" w:eastAsia="Times New Roman" w:hAnsi="Times New Roman" w:cs="Times New Roman"/>
          <w:sz w:val="28"/>
          <w:szCs w:val="28"/>
        </w:rPr>
        <w:t>Центрофинанс</w:t>
      </w:r>
      <w:r>
        <w:rPr>
          <w:rFonts w:ascii="Times New Roman" w:eastAsia="Times New Roman" w:hAnsi="Times New Roman" w:cs="Times New Roman"/>
          <w:sz w:val="28"/>
          <w:szCs w:val="28"/>
        </w:rPr>
        <w:t xml:space="preserve"> Групп» (ИНН/КПП 2902076410/290201001, ОГРН 1132932001674) задолженность по договору займа № ЦЗКРД102590 от </w:t>
      </w:r>
      <w:r>
        <w:rPr>
          <w:rStyle w:val="cat-Dategrp-16rplc-5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размере </w:t>
      </w:r>
      <w:r>
        <w:rPr>
          <w:rStyle w:val="cat-Sumgrp-29rplc-5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них: </w:t>
      </w:r>
      <w:r>
        <w:rPr>
          <w:rStyle w:val="cat-Sumgrp-30rplc-5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сумма основного долга; </w:t>
      </w:r>
      <w:r>
        <w:rPr>
          <w:rStyle w:val="cat-Sumgrp-31rplc-5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проценты по договору за период с </w:t>
      </w:r>
      <w:r>
        <w:rPr>
          <w:rStyle w:val="cat-Dategrp-5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6rplc-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Sumgrp-32rplc-6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неустойка в соответствии с 12 указанного договора за период с </w:t>
      </w:r>
      <w:r>
        <w:rPr>
          <w:rStyle w:val="cat-Dategrp-17rplc-6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02.12.2020 года из расчета 20% годовых, а также взыскать судебные издержки, связанные с оплатой </w:t>
      </w:r>
      <w:r>
        <w:rPr>
          <w:rFonts w:ascii="Times New Roman" w:eastAsia="Times New Roman" w:hAnsi="Times New Roman" w:cs="Times New Roman"/>
          <w:sz w:val="28"/>
          <w:szCs w:val="28"/>
        </w:rPr>
        <w:t xml:space="preserve">государственной пошлины пропорционально удовлетворенным исковым требованиям в размере </w:t>
      </w:r>
      <w:r>
        <w:rPr>
          <w:rStyle w:val="cat-Sumgrp-33rplc-6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всего взыскать </w:t>
      </w:r>
      <w:r>
        <w:rPr>
          <w:rStyle w:val="cat-Sumgrp-34rplc-6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Style w:val="cat-SumInWordsgrp-35rplc-66"/>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остальной части исковых требований отказать.</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 может быть обжаловано в Красногвардейский районный суд Республики Крым путём подачи апелляционной жалобы через судебный участок № 54 Красногвардейского судебного района Республики Крым в течение месяца со дня его принятия.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Лица, участвующие в деле, их представители имеют право подать заявление о составлении мотивированного решения суда.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w:t>
      </w:r>
      <w:r>
        <w:rPr>
          <w:rFonts w:ascii="Times New Roman" w:eastAsia="Times New Roman" w:hAnsi="Times New Roman" w:cs="Times New Roman"/>
          <w:sz w:val="28"/>
          <w:szCs w:val="28"/>
        </w:rPr>
        <w:t>ступления от лиц, участвующих в деле, их представителей заявления о составлении мотивированного решения суда.</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23rplc-69"/>
          <w:rFonts w:ascii="Times New Roman" w:eastAsia="Times New Roman" w:hAnsi="Times New Roman" w:cs="Times New Roman"/>
          <w:sz w:val="28"/>
          <w:szCs w:val="28"/>
        </w:rPr>
        <w:t>фио</w:t>
      </w:r>
    </w:p>
    <w:p>
      <w:pPr>
        <w:spacing w:before="0" w:after="0"/>
        <w:rPr>
          <w:sz w:val="22"/>
          <w:szCs w:val="22"/>
        </w:rPr>
      </w:pPr>
    </w:p>
    <w:p>
      <w:pPr>
        <w:spacing w:before="0" w:after="200" w:line="276" w:lineRule="auto"/>
        <w:rPr>
          <w:sz w:val="22"/>
          <w:szCs w:val="22"/>
        </w:rPr>
      </w:pPr>
    </w:p>
    <w:p>
      <w:pPr>
        <w:spacing w:before="0" w:after="200" w:line="276" w:lineRule="auto"/>
        <w:rPr>
          <w:sz w:val="22"/>
          <w:szCs w:val="22"/>
        </w:rPr>
      </w:pPr>
    </w:p>
    <w:p>
      <w:pPr>
        <w:spacing w:before="0" w:after="0"/>
        <w:jc w:val="both"/>
        <w:rPr>
          <w:sz w:val="22"/>
          <w:szCs w:val="22"/>
        </w:rPr>
      </w:pPr>
    </w:p>
    <w:p>
      <w:pPr>
        <w:spacing w:before="0" w:after="200" w:line="276" w:lineRule="auto"/>
        <w:rPr>
          <w:sz w:val="22"/>
          <w:szCs w:val="22"/>
        </w:rPr>
      </w:pPr>
    </w:p>
    <w:p>
      <w:pPr>
        <w:spacing w:before="0" w:after="0"/>
        <w:jc w:val="both"/>
        <w:rPr>
          <w:sz w:val="22"/>
          <w:szCs w:val="22"/>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0rplc-9">
    <w:name w:val="cat-FIO grp-20 rplc-9"/>
    <w:basedOn w:val="DefaultParagraphFont"/>
  </w:style>
  <w:style w:type="character" w:customStyle="1" w:styleId="cat-FIOgrp-20rplc-13">
    <w:name w:val="cat-FIO grp-20 rplc-13"/>
    <w:basedOn w:val="DefaultParagraphFont"/>
  </w:style>
  <w:style w:type="character" w:customStyle="1" w:styleId="cat-Dategrp-5rplc-14">
    <w:name w:val="cat-Date grp-5 rplc-14"/>
    <w:basedOn w:val="DefaultParagraphFont"/>
  </w:style>
  <w:style w:type="character" w:customStyle="1" w:styleId="cat-FIOgrp-21rplc-15">
    <w:name w:val="cat-FIO grp-21 rplc-15"/>
    <w:basedOn w:val="DefaultParagraphFont"/>
  </w:style>
  <w:style w:type="character" w:customStyle="1" w:styleId="cat-FIOgrp-21rplc-17">
    <w:name w:val="cat-FIO grp-21 rplc-17"/>
    <w:basedOn w:val="DefaultParagraphFont"/>
  </w:style>
  <w:style w:type="character" w:customStyle="1" w:styleId="cat-Sumgrp-24rplc-18">
    <w:name w:val="cat-Sum grp-24 rplc-18"/>
    <w:basedOn w:val="DefaultParagraphFont"/>
  </w:style>
  <w:style w:type="character" w:customStyle="1" w:styleId="cat-Dategrp-6rplc-19">
    <w:name w:val="cat-Date grp-6 rplc-19"/>
    <w:basedOn w:val="DefaultParagraphFont"/>
  </w:style>
  <w:style w:type="character" w:customStyle="1" w:styleId="cat-Sumgrp-25rplc-20">
    <w:name w:val="cat-Sum grp-25 rplc-20"/>
    <w:basedOn w:val="DefaultParagraphFont"/>
  </w:style>
  <w:style w:type="character" w:customStyle="1" w:styleId="cat-Sumgrp-24rplc-21">
    <w:name w:val="cat-Sum grp-24 rplc-21"/>
    <w:basedOn w:val="DefaultParagraphFont"/>
  </w:style>
  <w:style w:type="character" w:customStyle="1" w:styleId="cat-Sumgrp-26rplc-22">
    <w:name w:val="cat-Sum grp-26 rplc-22"/>
    <w:basedOn w:val="DefaultParagraphFont"/>
  </w:style>
  <w:style w:type="character" w:customStyle="1" w:styleId="cat-Dategrp-7rplc-23">
    <w:name w:val="cat-Date grp-7 rplc-23"/>
    <w:basedOn w:val="DefaultParagraphFont"/>
  </w:style>
  <w:style w:type="character" w:customStyle="1" w:styleId="cat-Sumgrp-25rplc-24">
    <w:name w:val="cat-Sum grp-25 rplc-24"/>
    <w:basedOn w:val="DefaultParagraphFont"/>
  </w:style>
  <w:style w:type="character" w:customStyle="1" w:styleId="cat-Sumgrp-27rplc-25">
    <w:name w:val="cat-Sum grp-27 rplc-25"/>
    <w:basedOn w:val="DefaultParagraphFont"/>
  </w:style>
  <w:style w:type="character" w:customStyle="1" w:styleId="cat-Dategrp-8rplc-26">
    <w:name w:val="cat-Date grp-8 rplc-26"/>
    <w:basedOn w:val="DefaultParagraphFont"/>
  </w:style>
  <w:style w:type="character" w:customStyle="1" w:styleId="cat-FIOgrp-21rplc-28">
    <w:name w:val="cat-FIO grp-21 rplc-28"/>
    <w:basedOn w:val="DefaultParagraphFont"/>
  </w:style>
  <w:style w:type="character" w:customStyle="1" w:styleId="cat-Dategrp-5rplc-29">
    <w:name w:val="cat-Date grp-5 rplc-29"/>
    <w:basedOn w:val="DefaultParagraphFont"/>
  </w:style>
  <w:style w:type="character" w:customStyle="1" w:styleId="cat-FIOgrp-21rplc-31">
    <w:name w:val="cat-FIO grp-21 rplc-31"/>
    <w:basedOn w:val="DefaultParagraphFont"/>
  </w:style>
  <w:style w:type="character" w:customStyle="1" w:styleId="cat-Sumgrp-24rplc-32">
    <w:name w:val="cat-Sum grp-24 rplc-32"/>
    <w:basedOn w:val="DefaultParagraphFont"/>
  </w:style>
  <w:style w:type="character" w:customStyle="1" w:styleId="cat-Dategrp-6rplc-33">
    <w:name w:val="cat-Date grp-6 rplc-33"/>
    <w:basedOn w:val="DefaultParagraphFont"/>
  </w:style>
  <w:style w:type="character" w:customStyle="1" w:styleId="cat-Sumgrp-28rplc-34">
    <w:name w:val="cat-Sum grp-28 rplc-34"/>
    <w:basedOn w:val="DefaultParagraphFont"/>
  </w:style>
  <w:style w:type="character" w:customStyle="1" w:styleId="cat-Dategrp-10rplc-35">
    <w:name w:val="cat-Date grp-10 rplc-35"/>
    <w:basedOn w:val="DefaultParagraphFont"/>
  </w:style>
  <w:style w:type="character" w:customStyle="1" w:styleId="cat-FIOgrp-21rplc-37">
    <w:name w:val="cat-FIO grp-21 rplc-37"/>
    <w:basedOn w:val="DefaultParagraphFont"/>
  </w:style>
  <w:style w:type="character" w:customStyle="1" w:styleId="cat-Dategrp-5rplc-38">
    <w:name w:val="cat-Date grp-5 rplc-38"/>
    <w:basedOn w:val="DefaultParagraphFont"/>
  </w:style>
  <w:style w:type="character" w:customStyle="1" w:styleId="cat-Dategrp-14rplc-41">
    <w:name w:val="cat-Date grp-14 rplc-41"/>
    <w:basedOn w:val="DefaultParagraphFont"/>
  </w:style>
  <w:style w:type="character" w:customStyle="1" w:styleId="cat-Dategrp-15rplc-42">
    <w:name w:val="cat-Date grp-15 rplc-42"/>
    <w:basedOn w:val="DefaultParagraphFont"/>
  </w:style>
  <w:style w:type="character" w:customStyle="1" w:styleId="cat-Dategrp-5rplc-43">
    <w:name w:val="cat-Date grp-5 rplc-43"/>
    <w:basedOn w:val="DefaultParagraphFont"/>
  </w:style>
  <w:style w:type="character" w:customStyle="1" w:styleId="cat-Dategrp-6rplc-44">
    <w:name w:val="cat-Date grp-6 rplc-44"/>
    <w:basedOn w:val="DefaultParagraphFont"/>
  </w:style>
  <w:style w:type="character" w:customStyle="1" w:styleId="cat-Dategrp-6rplc-45">
    <w:name w:val="cat-Date grp-6 rplc-45"/>
    <w:basedOn w:val="DefaultParagraphFont"/>
  </w:style>
  <w:style w:type="character" w:customStyle="1" w:styleId="cat-FIOgrp-20rplc-47">
    <w:name w:val="cat-FIO grp-20 rplc-47"/>
    <w:basedOn w:val="DefaultParagraphFont"/>
  </w:style>
  <w:style w:type="character" w:customStyle="1" w:styleId="cat-FIOgrp-22rplc-48">
    <w:name w:val="cat-FIO grp-22 rplc-48"/>
    <w:basedOn w:val="DefaultParagraphFont"/>
  </w:style>
  <w:style w:type="character" w:customStyle="1" w:styleId="cat-PassportDatagrp-36rplc-49">
    <w:name w:val="cat-PassportData grp-36 rplc-49"/>
    <w:basedOn w:val="DefaultParagraphFont"/>
  </w:style>
  <w:style w:type="character" w:customStyle="1" w:styleId="cat-PassportDatagrp-37rplc-50">
    <w:name w:val="cat-PassportData grp-37 rplc-50"/>
    <w:basedOn w:val="DefaultParagraphFont"/>
  </w:style>
  <w:style w:type="character" w:customStyle="1" w:styleId="cat-ExternalSystemDefinedgrp-42rplc-51">
    <w:name w:val="cat-ExternalSystemDefined grp-42 rplc-51"/>
    <w:basedOn w:val="DefaultParagraphFont"/>
  </w:style>
  <w:style w:type="character" w:customStyle="1" w:styleId="cat-ExternalSystemDefinedgrp-44rplc-52">
    <w:name w:val="cat-ExternalSystemDefined grp-44 rplc-52"/>
    <w:basedOn w:val="DefaultParagraphFont"/>
  </w:style>
  <w:style w:type="character" w:customStyle="1" w:styleId="cat-Dategrp-16rplc-55">
    <w:name w:val="cat-Date grp-16 rplc-55"/>
    <w:basedOn w:val="DefaultParagraphFont"/>
  </w:style>
  <w:style w:type="character" w:customStyle="1" w:styleId="cat-Sumgrp-29rplc-56">
    <w:name w:val="cat-Sum grp-29 rplc-56"/>
    <w:basedOn w:val="DefaultParagraphFont"/>
  </w:style>
  <w:style w:type="character" w:customStyle="1" w:styleId="cat-Sumgrp-30rplc-57">
    <w:name w:val="cat-Sum grp-30 rplc-57"/>
    <w:basedOn w:val="DefaultParagraphFont"/>
  </w:style>
  <w:style w:type="character" w:customStyle="1" w:styleId="cat-Sumgrp-31rplc-58">
    <w:name w:val="cat-Sum grp-31 rplc-58"/>
    <w:basedOn w:val="DefaultParagraphFont"/>
  </w:style>
  <w:style w:type="character" w:customStyle="1" w:styleId="cat-Dategrp-5rplc-59">
    <w:name w:val="cat-Date grp-5 rplc-59"/>
    <w:basedOn w:val="DefaultParagraphFont"/>
  </w:style>
  <w:style w:type="character" w:customStyle="1" w:styleId="cat-Dategrp-6rplc-60">
    <w:name w:val="cat-Date grp-6 rplc-60"/>
    <w:basedOn w:val="DefaultParagraphFont"/>
  </w:style>
  <w:style w:type="character" w:customStyle="1" w:styleId="cat-Sumgrp-32rplc-61">
    <w:name w:val="cat-Sum grp-32 rplc-61"/>
    <w:basedOn w:val="DefaultParagraphFont"/>
  </w:style>
  <w:style w:type="character" w:customStyle="1" w:styleId="cat-Dategrp-17rplc-62">
    <w:name w:val="cat-Date grp-17 rplc-62"/>
    <w:basedOn w:val="DefaultParagraphFont"/>
  </w:style>
  <w:style w:type="character" w:customStyle="1" w:styleId="cat-Sumgrp-33rplc-64">
    <w:name w:val="cat-Sum grp-33 rplc-64"/>
    <w:basedOn w:val="DefaultParagraphFont"/>
  </w:style>
  <w:style w:type="character" w:customStyle="1" w:styleId="cat-Sumgrp-34rplc-65">
    <w:name w:val="cat-Sum grp-34 rplc-65"/>
    <w:basedOn w:val="DefaultParagraphFont"/>
  </w:style>
  <w:style w:type="character" w:customStyle="1" w:styleId="cat-SumInWordsgrp-35rplc-66">
    <w:name w:val="cat-SumInWords grp-35 rplc-66"/>
    <w:basedOn w:val="DefaultParagraphFont"/>
  </w:style>
  <w:style w:type="character" w:customStyle="1" w:styleId="cat-FIOgrp-23rplc-69">
    <w:name w:val="cat-FIO grp-23 rplc-6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