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0004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истца –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представителя истца – </w:t>
      </w:r>
      <w:r>
        <w:rPr>
          <w:rFonts w:ascii="Times New Roman" w:eastAsia="Times New Roman" w:hAnsi="Times New Roman" w:cs="Times New Roman"/>
          <w:sz w:val="26"/>
          <w:szCs w:val="26"/>
        </w:rPr>
        <w:t>Татьянко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 ответчиков – адвоката Федорова Ю.А.,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исковое заявление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расходов, понесенных на оценку наследуемого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компенсации морального вреда,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судебных расходов, связанных с оплатой государственной пошлины,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194-199 ГПК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расходов, понесенных на оценку наследуемого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, компенсации морального вреда,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фио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связанные с оценкой наследуемого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(одна тысяча пятьсот) рублей 00 копеек.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законного представителя несовершеннолетней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фио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>, расходы связанные с оценкой наследуемого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(одна тысяча 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солидарно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38"/>
          <w:rFonts w:ascii="Times New Roman" w:eastAsia="Times New Roman" w:hAnsi="Times New Roman" w:cs="Times New Roman"/>
          <w:sz w:val="26"/>
          <w:szCs w:val="26"/>
        </w:rPr>
        <w:t>фио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пропорционально удовлетворенным исковым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400 (четыреста) рублей 00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остальной части иска отказать.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8">
    <w:name w:val="cat-UserDefined grp-2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