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613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244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93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секретаре Дольниковой Н.А.,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«Бюро взыскания «Правёж»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4rplc-8"/>
          <w:rFonts w:ascii="Times New Roman" w:eastAsia="Times New Roman" w:hAnsi="Times New Roman" w:cs="Times New Roman"/>
        </w:rPr>
        <w:t>Собенниковой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третье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, не заявляюще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самостоятельные требования на предмет спора </w:t>
      </w:r>
      <w:r>
        <w:rPr>
          <w:rFonts w:ascii="Times New Roman" w:eastAsia="Times New Roman" w:hAnsi="Times New Roman" w:cs="Times New Roman"/>
        </w:rPr>
        <w:t>ООО МФК «ЧЕСТНОЕ СЛОВО»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 xml:space="preserve">ст. ст.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«Бюро взыскания «Правёж»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4rplc-12"/>
          <w:rFonts w:ascii="Times New Roman" w:eastAsia="Times New Roman" w:hAnsi="Times New Roman" w:cs="Times New Roman"/>
        </w:rPr>
        <w:t>Собенниковой А.Н.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третье лицо, не заявляющее самостоятельные требования на предмет спор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МФК «ЧЕСТНОЕ СЛОВО»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договору займа, 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5rplc-16"/>
          <w:rFonts w:ascii="Times New Roman" w:eastAsia="Times New Roman" w:hAnsi="Times New Roman" w:cs="Times New Roman"/>
        </w:rPr>
        <w:t>Собенниковой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«Бюро взыскания «Правёж»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UserDefinedgrp-27rplc-22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задолженность по договору займа № </w:t>
      </w:r>
      <w:r>
        <w:rPr>
          <w:rFonts w:ascii="Times New Roman" w:eastAsia="Times New Roman" w:hAnsi="Times New Roman" w:cs="Times New Roman"/>
        </w:rPr>
        <w:t>3504052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размере </w:t>
      </w:r>
      <w:r>
        <w:rPr>
          <w:rFonts w:ascii="Times New Roman" w:eastAsia="Times New Roman" w:hAnsi="Times New Roman" w:cs="Times New Roman"/>
        </w:rPr>
        <w:t>125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рублей, из них: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000,00 рублей - сумма основного долга; 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рублей - проценты за пользование займом;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0,00</w:t>
      </w:r>
      <w:r>
        <w:rPr>
          <w:rFonts w:ascii="Times New Roman" w:eastAsia="Times New Roman" w:hAnsi="Times New Roman" w:cs="Times New Roman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</w:rPr>
        <w:t>13000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тринадцать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тысяч)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</w:t>
      </w:r>
      <w:r>
        <w:rPr>
          <w:rFonts w:ascii="Times New Roman" w:eastAsia="Times New Roman" w:hAnsi="Times New Roman" w:cs="Times New Roman"/>
        </w:rPr>
        <w:t>ек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2">
    <w:name w:val="cat-UserDefined grp-2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