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451B" w:rsidRPr="00E6379A" w:rsidP="0088451B">
      <w:pPr>
        <w:jc w:val="right"/>
        <w:rPr>
          <w:sz w:val="25"/>
          <w:szCs w:val="25"/>
        </w:rPr>
      </w:pPr>
      <w:r w:rsidRPr="00E6379A">
        <w:rPr>
          <w:sz w:val="25"/>
          <w:szCs w:val="25"/>
        </w:rPr>
        <w:t>Дело № 2-</w:t>
      </w:r>
      <w:r w:rsidRPr="00E6379A" w:rsidR="00C23786">
        <w:rPr>
          <w:sz w:val="25"/>
          <w:szCs w:val="25"/>
        </w:rPr>
        <w:t>58</w:t>
      </w:r>
      <w:r w:rsidRPr="00E6379A">
        <w:rPr>
          <w:sz w:val="25"/>
          <w:szCs w:val="25"/>
        </w:rPr>
        <w:t>-</w:t>
      </w:r>
      <w:r w:rsidRPr="00E6379A" w:rsidR="00F278C3">
        <w:rPr>
          <w:sz w:val="25"/>
          <w:szCs w:val="25"/>
        </w:rPr>
        <w:t>154/2024</w:t>
      </w:r>
    </w:p>
    <w:p w:rsidR="00DD4993" w:rsidRPr="00E6379A" w:rsidP="0088451B">
      <w:pPr>
        <w:jc w:val="right"/>
        <w:rPr>
          <w:sz w:val="25"/>
          <w:szCs w:val="25"/>
        </w:rPr>
      </w:pPr>
      <w:r w:rsidRPr="00E6379A">
        <w:rPr>
          <w:sz w:val="25"/>
          <w:szCs w:val="25"/>
        </w:rPr>
        <w:t>УИД 91</w:t>
      </w:r>
      <w:r w:rsidRPr="00E6379A">
        <w:rPr>
          <w:sz w:val="25"/>
          <w:szCs w:val="25"/>
          <w:lang w:val="en-US"/>
        </w:rPr>
        <w:t>MS</w:t>
      </w:r>
      <w:r w:rsidRPr="00E6379A">
        <w:rPr>
          <w:sz w:val="25"/>
          <w:szCs w:val="25"/>
        </w:rPr>
        <w:t>00</w:t>
      </w:r>
      <w:r w:rsidRPr="00E6379A" w:rsidR="00C23786">
        <w:rPr>
          <w:sz w:val="25"/>
          <w:szCs w:val="25"/>
        </w:rPr>
        <w:t>58</w:t>
      </w:r>
      <w:r w:rsidRPr="00E6379A">
        <w:rPr>
          <w:sz w:val="25"/>
          <w:szCs w:val="25"/>
        </w:rPr>
        <w:t>-01-</w:t>
      </w:r>
      <w:r w:rsidRPr="00E6379A" w:rsidR="00F278C3">
        <w:rPr>
          <w:sz w:val="25"/>
          <w:szCs w:val="25"/>
        </w:rPr>
        <w:t>2024-000191-05</w:t>
      </w:r>
      <w:r w:rsidRPr="00E6379A" w:rsidR="00FB7CC1">
        <w:rPr>
          <w:sz w:val="25"/>
          <w:szCs w:val="25"/>
        </w:rPr>
        <w:t xml:space="preserve"> </w:t>
      </w:r>
    </w:p>
    <w:p w:rsidR="0016760F" w:rsidRPr="00E6379A" w:rsidP="0088451B">
      <w:pPr>
        <w:jc w:val="right"/>
        <w:rPr>
          <w:sz w:val="25"/>
          <w:szCs w:val="25"/>
        </w:rPr>
      </w:pPr>
    </w:p>
    <w:p w:rsidR="0088451B" w:rsidRPr="00E6379A" w:rsidP="002F455F">
      <w:pPr>
        <w:pStyle w:val="Heading1"/>
        <w:rPr>
          <w:b/>
          <w:sz w:val="25"/>
          <w:szCs w:val="25"/>
        </w:rPr>
      </w:pPr>
      <w:r w:rsidRPr="00E6379A">
        <w:rPr>
          <w:b/>
          <w:sz w:val="25"/>
          <w:szCs w:val="25"/>
        </w:rPr>
        <w:t>Р Е Ш Е Н И Е</w:t>
      </w:r>
    </w:p>
    <w:p w:rsidR="0088451B" w:rsidRPr="00E6379A" w:rsidP="0088451B">
      <w:pPr>
        <w:jc w:val="center"/>
        <w:rPr>
          <w:b/>
          <w:sz w:val="25"/>
          <w:szCs w:val="25"/>
        </w:rPr>
      </w:pPr>
      <w:r w:rsidRPr="00E6379A">
        <w:rPr>
          <w:b/>
          <w:sz w:val="25"/>
          <w:szCs w:val="25"/>
        </w:rPr>
        <w:t>и м е н е м   Р о с с и й с к о й   Ф е д е р а ц и и</w:t>
      </w:r>
    </w:p>
    <w:p w:rsidR="0088451B" w:rsidRPr="00E6379A" w:rsidP="0088451B">
      <w:pPr>
        <w:spacing w:before="120" w:after="120"/>
        <w:jc w:val="both"/>
        <w:rPr>
          <w:sz w:val="25"/>
          <w:szCs w:val="25"/>
        </w:rPr>
      </w:pPr>
      <w:r w:rsidRPr="00E6379A">
        <w:rPr>
          <w:sz w:val="25"/>
          <w:szCs w:val="25"/>
        </w:rPr>
        <w:t>г. Красноперекопск</w:t>
      </w:r>
      <w:r w:rsidRPr="00E6379A">
        <w:rPr>
          <w:sz w:val="25"/>
          <w:szCs w:val="25"/>
        </w:rPr>
        <w:tab/>
      </w:r>
      <w:r w:rsidRPr="00E6379A">
        <w:rPr>
          <w:sz w:val="25"/>
          <w:szCs w:val="25"/>
        </w:rPr>
        <w:tab/>
      </w:r>
      <w:r w:rsidRPr="00E6379A">
        <w:rPr>
          <w:sz w:val="25"/>
          <w:szCs w:val="25"/>
        </w:rPr>
        <w:tab/>
      </w:r>
      <w:r w:rsidRPr="00E6379A">
        <w:rPr>
          <w:sz w:val="25"/>
          <w:szCs w:val="25"/>
        </w:rPr>
        <w:tab/>
      </w:r>
      <w:r w:rsidRPr="00E6379A">
        <w:rPr>
          <w:sz w:val="25"/>
          <w:szCs w:val="25"/>
        </w:rPr>
        <w:tab/>
      </w:r>
      <w:r w:rsidRPr="00E6379A">
        <w:rPr>
          <w:sz w:val="25"/>
          <w:szCs w:val="25"/>
        </w:rPr>
        <w:tab/>
      </w:r>
      <w:r w:rsidRPr="00E6379A">
        <w:rPr>
          <w:sz w:val="25"/>
          <w:szCs w:val="25"/>
        </w:rPr>
        <w:tab/>
      </w:r>
      <w:r w:rsidRPr="00E6379A" w:rsidR="002F455F">
        <w:rPr>
          <w:sz w:val="25"/>
          <w:szCs w:val="25"/>
        </w:rPr>
        <w:tab/>
      </w:r>
      <w:r w:rsidRPr="00E6379A" w:rsidR="006454F4">
        <w:rPr>
          <w:sz w:val="25"/>
          <w:szCs w:val="25"/>
        </w:rPr>
        <w:tab/>
      </w:r>
      <w:r w:rsidRPr="00E6379A" w:rsidR="001376AE">
        <w:rPr>
          <w:sz w:val="25"/>
          <w:szCs w:val="25"/>
        </w:rPr>
        <w:t>19</w:t>
      </w:r>
      <w:r w:rsidRPr="00E6379A" w:rsidR="00F278C3">
        <w:rPr>
          <w:sz w:val="25"/>
          <w:szCs w:val="25"/>
        </w:rPr>
        <w:t xml:space="preserve"> марта</w:t>
      </w:r>
      <w:r w:rsidRPr="00E6379A" w:rsidR="00484477">
        <w:rPr>
          <w:sz w:val="25"/>
          <w:szCs w:val="25"/>
        </w:rPr>
        <w:t xml:space="preserve"> 2024</w:t>
      </w:r>
      <w:r w:rsidRPr="00E6379A">
        <w:rPr>
          <w:sz w:val="25"/>
          <w:szCs w:val="25"/>
        </w:rPr>
        <w:t xml:space="preserve"> г.</w:t>
      </w:r>
    </w:p>
    <w:p w:rsidR="00C23786" w:rsidRPr="00E6379A" w:rsidP="00C23786">
      <w:pPr>
        <w:pStyle w:val="ConsPlusNormal"/>
        <w:spacing w:before="200"/>
        <w:ind w:firstLine="708"/>
        <w:contextualSpacing/>
        <w:jc w:val="both"/>
        <w:rPr>
          <w:rFonts w:ascii="Times New Roman" w:hAnsi="Times New Roman" w:cs="Times New Roman"/>
          <w:sz w:val="25"/>
          <w:szCs w:val="25"/>
        </w:rPr>
      </w:pPr>
      <w:r w:rsidRPr="00E6379A">
        <w:rPr>
          <w:rFonts w:ascii="Times New Roman" w:hAnsi="Times New Roman" w:cs="Times New Roman"/>
          <w:sz w:val="25"/>
          <w:szCs w:val="25"/>
        </w:rPr>
        <w:t>Суд в составе: председательствующего –</w:t>
      </w:r>
      <w:r w:rsidRPr="00E6379A" w:rsidR="00484477">
        <w:rPr>
          <w:rFonts w:ascii="Times New Roman" w:hAnsi="Times New Roman" w:cs="Times New Roman"/>
          <w:sz w:val="25"/>
          <w:szCs w:val="25"/>
        </w:rPr>
        <w:t xml:space="preserve"> </w:t>
      </w:r>
      <w:r w:rsidRPr="00E6379A">
        <w:rPr>
          <w:rFonts w:ascii="Times New Roman" w:hAnsi="Times New Roman" w:cs="Times New Roman"/>
          <w:sz w:val="25"/>
          <w:szCs w:val="25"/>
        </w:rPr>
        <w:t xml:space="preserve">мирового судьи судебного участка № </w:t>
      </w:r>
      <w:r w:rsidRPr="00E6379A" w:rsidR="00484477">
        <w:rPr>
          <w:rFonts w:ascii="Times New Roman" w:hAnsi="Times New Roman" w:cs="Times New Roman"/>
          <w:sz w:val="25"/>
          <w:szCs w:val="25"/>
        </w:rPr>
        <w:t>58</w:t>
      </w:r>
      <w:r w:rsidRPr="00E6379A">
        <w:rPr>
          <w:rFonts w:ascii="Times New Roman" w:hAnsi="Times New Roman" w:cs="Times New Roman"/>
          <w:sz w:val="25"/>
          <w:szCs w:val="25"/>
        </w:rPr>
        <w:t xml:space="preserve"> </w:t>
      </w:r>
      <w:r w:rsidRPr="00E6379A">
        <w:rPr>
          <w:rFonts w:ascii="Times New Roman" w:hAnsi="Times New Roman" w:cs="Times New Roman"/>
          <w:sz w:val="25"/>
          <w:szCs w:val="25"/>
        </w:rPr>
        <w:t>Красноперекопского судебного района</w:t>
      </w:r>
      <w:r w:rsidRPr="00E6379A" w:rsidR="00484477">
        <w:rPr>
          <w:rFonts w:ascii="Times New Roman" w:hAnsi="Times New Roman" w:cs="Times New Roman"/>
          <w:sz w:val="25"/>
          <w:szCs w:val="25"/>
        </w:rPr>
        <w:t xml:space="preserve"> (Красноперекопский муниципальный район и городской округ Красноперекопск) Республики Крым </w:t>
      </w:r>
      <w:r w:rsidRPr="00E6379A" w:rsidR="00484477">
        <w:rPr>
          <w:rFonts w:ascii="Times New Roman" w:hAnsi="Times New Roman" w:cs="Times New Roman"/>
          <w:sz w:val="25"/>
          <w:szCs w:val="25"/>
        </w:rPr>
        <w:tab/>
      </w:r>
      <w:r w:rsidRPr="00E6379A" w:rsidR="00484477">
        <w:rPr>
          <w:rFonts w:ascii="Times New Roman" w:hAnsi="Times New Roman" w:cs="Times New Roman"/>
          <w:sz w:val="25"/>
          <w:szCs w:val="25"/>
        </w:rPr>
        <w:tab/>
      </w:r>
      <w:r w:rsidRPr="00E6379A" w:rsidR="00484477">
        <w:rPr>
          <w:rFonts w:ascii="Times New Roman" w:hAnsi="Times New Roman" w:cs="Times New Roman"/>
          <w:sz w:val="25"/>
          <w:szCs w:val="25"/>
        </w:rPr>
        <w:tab/>
        <w:t>Захаровой А.С.,</w:t>
      </w:r>
    </w:p>
    <w:p w:rsidR="00C23786" w:rsidRPr="00E6379A" w:rsidP="00C23786">
      <w:pPr>
        <w:pStyle w:val="ConsPlusNormal"/>
        <w:spacing w:before="200"/>
        <w:contextualSpacing/>
        <w:jc w:val="both"/>
        <w:rPr>
          <w:rFonts w:ascii="Times New Roman" w:hAnsi="Times New Roman" w:cs="Times New Roman"/>
          <w:sz w:val="25"/>
          <w:szCs w:val="25"/>
        </w:rPr>
      </w:pPr>
      <w:r w:rsidRPr="00E6379A">
        <w:rPr>
          <w:rFonts w:ascii="Times New Roman" w:hAnsi="Times New Roman" w:cs="Times New Roman"/>
          <w:sz w:val="25"/>
          <w:szCs w:val="25"/>
        </w:rPr>
        <w:t xml:space="preserve">при ведении протокола судебного заседания администратором судебного участка </w:t>
      </w:r>
    </w:p>
    <w:p w:rsidR="00A40896" w:rsidRPr="00E6379A" w:rsidP="00C23786">
      <w:pPr>
        <w:pStyle w:val="ConsPlusNormal"/>
        <w:spacing w:before="200"/>
        <w:ind w:left="7788"/>
        <w:contextualSpacing/>
        <w:jc w:val="both"/>
        <w:rPr>
          <w:rFonts w:ascii="Times New Roman" w:hAnsi="Times New Roman" w:cs="Times New Roman"/>
          <w:sz w:val="25"/>
          <w:szCs w:val="25"/>
        </w:rPr>
      </w:pPr>
      <w:r w:rsidRPr="00E6379A">
        <w:rPr>
          <w:rFonts w:ascii="Times New Roman" w:hAnsi="Times New Roman" w:cs="Times New Roman"/>
          <w:sz w:val="25"/>
          <w:szCs w:val="25"/>
        </w:rPr>
        <w:t>Рудюк Я.А.,</w:t>
      </w:r>
    </w:p>
    <w:p w:rsidR="00B63106" w:rsidRPr="00E6379A" w:rsidP="00F278C3">
      <w:pPr>
        <w:pStyle w:val="ConsPlusNormal"/>
        <w:spacing w:before="200"/>
        <w:contextualSpacing/>
        <w:jc w:val="both"/>
        <w:rPr>
          <w:rFonts w:ascii="Times New Roman" w:hAnsi="Times New Roman" w:cs="Times New Roman"/>
          <w:sz w:val="25"/>
          <w:szCs w:val="25"/>
        </w:rPr>
      </w:pPr>
      <w:r w:rsidRPr="00E6379A">
        <w:rPr>
          <w:rFonts w:ascii="Times New Roman" w:hAnsi="Times New Roman" w:cs="Times New Roman"/>
          <w:sz w:val="25"/>
          <w:szCs w:val="25"/>
        </w:rPr>
        <w:t>с участием</w:t>
      </w:r>
      <w:r w:rsidRPr="00E6379A" w:rsidR="00351E75">
        <w:rPr>
          <w:rFonts w:ascii="Times New Roman" w:hAnsi="Times New Roman" w:cs="Times New Roman"/>
          <w:sz w:val="25"/>
          <w:szCs w:val="25"/>
        </w:rPr>
        <w:t xml:space="preserve"> представителя ответчика</w:t>
      </w:r>
      <w:r w:rsidRPr="00E6379A" w:rsidR="00351E75">
        <w:rPr>
          <w:rFonts w:ascii="Times New Roman" w:hAnsi="Times New Roman" w:cs="Times New Roman"/>
          <w:sz w:val="25"/>
          <w:szCs w:val="25"/>
        </w:rPr>
        <w:tab/>
      </w:r>
      <w:r w:rsidRPr="00E6379A" w:rsidR="00351E75">
        <w:rPr>
          <w:rFonts w:ascii="Times New Roman" w:hAnsi="Times New Roman" w:cs="Times New Roman"/>
          <w:sz w:val="25"/>
          <w:szCs w:val="25"/>
        </w:rPr>
        <w:tab/>
      </w:r>
      <w:r w:rsidRPr="00E6379A" w:rsidR="00351E75">
        <w:rPr>
          <w:rFonts w:ascii="Times New Roman" w:hAnsi="Times New Roman" w:cs="Times New Roman"/>
          <w:sz w:val="25"/>
          <w:szCs w:val="25"/>
        </w:rPr>
        <w:tab/>
      </w:r>
      <w:r w:rsidRPr="00E6379A" w:rsidR="00351E75">
        <w:rPr>
          <w:rFonts w:ascii="Times New Roman" w:hAnsi="Times New Roman" w:cs="Times New Roman"/>
          <w:sz w:val="25"/>
          <w:szCs w:val="25"/>
        </w:rPr>
        <w:tab/>
      </w:r>
      <w:r w:rsidRPr="00E6379A" w:rsidR="00351E75">
        <w:rPr>
          <w:rFonts w:ascii="Times New Roman" w:hAnsi="Times New Roman" w:cs="Times New Roman"/>
          <w:sz w:val="25"/>
          <w:szCs w:val="25"/>
        </w:rPr>
        <w:tab/>
      </w:r>
      <w:r w:rsidRPr="00E6379A" w:rsidR="00351E75">
        <w:rPr>
          <w:rFonts w:ascii="Times New Roman" w:hAnsi="Times New Roman" w:cs="Times New Roman"/>
          <w:sz w:val="25"/>
          <w:szCs w:val="25"/>
        </w:rPr>
        <w:tab/>
      </w:r>
      <w:r>
        <w:rPr>
          <w:rFonts w:ascii="Times New Roman" w:hAnsi="Times New Roman" w:cs="Times New Roman"/>
          <w:sz w:val="25"/>
          <w:szCs w:val="25"/>
        </w:rPr>
        <w:t>ФИО,</w:t>
      </w:r>
    </w:p>
    <w:p w:rsidR="00A40896" w:rsidRPr="00E6379A" w:rsidP="00A40896">
      <w:pPr>
        <w:pStyle w:val="ConsPlusNormal"/>
        <w:spacing w:before="200"/>
        <w:contextualSpacing/>
        <w:jc w:val="both"/>
        <w:rPr>
          <w:rFonts w:ascii="Times New Roman" w:hAnsi="Times New Roman" w:cs="Times New Roman"/>
          <w:sz w:val="25"/>
          <w:szCs w:val="25"/>
        </w:rPr>
      </w:pPr>
      <w:r w:rsidRPr="00E6379A">
        <w:rPr>
          <w:rFonts w:ascii="Times New Roman" w:hAnsi="Times New Roman" w:cs="Times New Roman"/>
          <w:sz w:val="25"/>
          <w:szCs w:val="25"/>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w:t>
      </w:r>
      <w:r w:rsidRPr="00E6379A" w:rsidR="00FB7CC1">
        <w:rPr>
          <w:rFonts w:ascii="Times New Roman" w:hAnsi="Times New Roman" w:cs="Times New Roman"/>
          <w:sz w:val="25"/>
          <w:szCs w:val="25"/>
        </w:rPr>
        <w:t xml:space="preserve"> </w:t>
      </w:r>
      <w:r w:rsidRPr="00E6379A" w:rsidR="00F278C3">
        <w:rPr>
          <w:rFonts w:ascii="Times New Roman" w:hAnsi="Times New Roman" w:cs="Times New Roman"/>
          <w:sz w:val="25"/>
          <w:szCs w:val="25"/>
        </w:rPr>
        <w:t xml:space="preserve">Рябоконь  </w:t>
      </w:r>
      <w:r w:rsidR="00B63106">
        <w:rPr>
          <w:rFonts w:ascii="Times New Roman" w:hAnsi="Times New Roman" w:cs="Times New Roman"/>
          <w:sz w:val="25"/>
          <w:szCs w:val="25"/>
        </w:rPr>
        <w:t>Р.Ф.</w:t>
      </w:r>
      <w:r w:rsidRPr="00E6379A" w:rsidR="00C21AD9">
        <w:rPr>
          <w:rFonts w:ascii="Times New Roman" w:hAnsi="Times New Roman" w:cs="Times New Roman"/>
          <w:sz w:val="25"/>
          <w:szCs w:val="25"/>
        </w:rPr>
        <w:t xml:space="preserve"> </w:t>
      </w:r>
      <w:r w:rsidRPr="00E6379A">
        <w:rPr>
          <w:rFonts w:ascii="Times New Roman" w:hAnsi="Times New Roman" w:cs="Times New Roman"/>
          <w:sz w:val="25"/>
          <w:szCs w:val="25"/>
        </w:rPr>
        <w:t>о взы</w:t>
      </w:r>
      <w:r w:rsidRPr="00E6379A">
        <w:rPr>
          <w:rFonts w:ascii="Times New Roman" w:hAnsi="Times New Roman" w:cs="Times New Roman"/>
          <w:sz w:val="25"/>
          <w:szCs w:val="25"/>
        </w:rPr>
        <w:t xml:space="preserve">скании задолженности по </w:t>
      </w:r>
      <w:r w:rsidRPr="00E6379A" w:rsidR="0004128C">
        <w:rPr>
          <w:rFonts w:ascii="Times New Roman" w:hAnsi="Times New Roman" w:cs="Times New Roman"/>
          <w:sz w:val="25"/>
          <w:szCs w:val="25"/>
        </w:rPr>
        <w:t>уплате взносов на капита</w:t>
      </w:r>
      <w:r w:rsidRPr="00E6379A">
        <w:rPr>
          <w:rFonts w:ascii="Times New Roman" w:hAnsi="Times New Roman" w:cs="Times New Roman"/>
          <w:sz w:val="25"/>
          <w:szCs w:val="25"/>
        </w:rPr>
        <w:t>льный ремонт общего имущества многоквартирного дома</w:t>
      </w:r>
      <w:r w:rsidRPr="00E6379A" w:rsidR="00E24A05">
        <w:rPr>
          <w:rFonts w:ascii="Times New Roman" w:hAnsi="Times New Roman" w:cs="Times New Roman"/>
          <w:sz w:val="25"/>
          <w:szCs w:val="25"/>
        </w:rPr>
        <w:t>, пени</w:t>
      </w:r>
      <w:r w:rsidRPr="00E6379A">
        <w:rPr>
          <w:rFonts w:ascii="Times New Roman" w:hAnsi="Times New Roman" w:cs="Times New Roman"/>
          <w:sz w:val="25"/>
          <w:szCs w:val="25"/>
        </w:rPr>
        <w:t xml:space="preserve"> и судебных расходов,</w:t>
      </w:r>
    </w:p>
    <w:p w:rsidR="006454F4" w:rsidRPr="00E6379A" w:rsidP="006454F4">
      <w:pPr>
        <w:pStyle w:val="ConsPlusNormal"/>
        <w:spacing w:before="200"/>
        <w:contextualSpacing/>
        <w:jc w:val="center"/>
        <w:rPr>
          <w:rFonts w:ascii="Times New Roman" w:hAnsi="Times New Roman" w:cs="Times New Roman"/>
          <w:b/>
          <w:sz w:val="25"/>
          <w:szCs w:val="25"/>
        </w:rPr>
      </w:pPr>
      <w:r w:rsidRPr="00E6379A">
        <w:rPr>
          <w:rFonts w:ascii="Times New Roman" w:hAnsi="Times New Roman" w:cs="Times New Roman"/>
          <w:b/>
          <w:sz w:val="25"/>
          <w:szCs w:val="25"/>
        </w:rPr>
        <w:t>у с т а н о в и л:</w:t>
      </w:r>
    </w:p>
    <w:p w:rsidR="006454F4" w:rsidRPr="00E6379A" w:rsidP="006454F4">
      <w:pPr>
        <w:pStyle w:val="ConsPlusNormal"/>
        <w:spacing w:before="200"/>
        <w:contextualSpacing/>
        <w:jc w:val="center"/>
        <w:rPr>
          <w:rFonts w:ascii="Times New Roman" w:hAnsi="Times New Roman" w:cs="Times New Roman"/>
          <w:b/>
          <w:sz w:val="25"/>
          <w:szCs w:val="25"/>
        </w:rPr>
      </w:pPr>
    </w:p>
    <w:p w:rsidR="006454F4" w:rsidRPr="00E6379A" w:rsidP="006454F4">
      <w:pPr>
        <w:ind w:firstLine="720"/>
        <w:jc w:val="both"/>
        <w:rPr>
          <w:sz w:val="25"/>
          <w:szCs w:val="25"/>
        </w:rPr>
      </w:pPr>
      <w:r w:rsidRPr="00E6379A">
        <w:rPr>
          <w:sz w:val="25"/>
          <w:szCs w:val="25"/>
        </w:rPr>
        <w:t>19 февраля 2024 года</w:t>
      </w:r>
      <w:r w:rsidRPr="00E6379A">
        <w:rPr>
          <w:sz w:val="25"/>
          <w:szCs w:val="25"/>
        </w:rPr>
        <w:t xml:space="preserve"> некоммерческая организация «Региональный фонд капитального ремонта многоквартирных домов Республики Крым» обратилась в суд с иском к Рябоконь Р.Ф. о взыскании задолженности по оплате взносов на капитальный ремонт общего имущества в многоквартирном доме, м</w:t>
      </w:r>
      <w:r w:rsidRPr="00E6379A">
        <w:rPr>
          <w:sz w:val="25"/>
          <w:szCs w:val="25"/>
        </w:rPr>
        <w:t xml:space="preserve">отивируя тем, что ответчик, являясь собственником помещения по адресу: </w:t>
      </w:r>
      <w:r w:rsidR="00B63106">
        <w:rPr>
          <w:sz w:val="25"/>
          <w:szCs w:val="25"/>
        </w:rPr>
        <w:t>адрес</w:t>
      </w:r>
      <w:r w:rsidRPr="00E6379A">
        <w:rPr>
          <w:sz w:val="25"/>
          <w:szCs w:val="25"/>
        </w:rPr>
        <w:t>, общей площадью 93 кв.м, в силу ч.3 ст.30, п. 3 ст. 171 ЖК РФ, ст.210 ГК РФ, ч.1 ст.158 ЖК РФ несет бремя содержания ук</w:t>
      </w:r>
      <w:r w:rsidRPr="00E6379A">
        <w:rPr>
          <w:sz w:val="25"/>
          <w:szCs w:val="25"/>
        </w:rPr>
        <w:t xml:space="preserve">азанного помещения и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r w:rsidRPr="00E6379A">
        <w:rPr>
          <w:sz w:val="25"/>
          <w:szCs w:val="25"/>
        </w:rPr>
        <w:t>Согласно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6454F4" w:rsidRPr="00E6379A" w:rsidP="006454F4">
      <w:pPr>
        <w:ind w:firstLine="720"/>
        <w:jc w:val="both"/>
        <w:rPr>
          <w:sz w:val="25"/>
          <w:szCs w:val="25"/>
        </w:rPr>
      </w:pPr>
      <w:r w:rsidRPr="00E6379A">
        <w:rPr>
          <w:sz w:val="25"/>
          <w:szCs w:val="25"/>
        </w:rPr>
        <w:t>Постановлением Совета министров Республики Крым от 30.11.2015 №753 утверждена Регио</w:t>
      </w:r>
      <w:r w:rsidRPr="00E6379A">
        <w:rPr>
          <w:sz w:val="25"/>
          <w:szCs w:val="25"/>
        </w:rPr>
        <w:t>нальная программа капитального ремонта общего имущества в многоквартирных домах на территории Республики Крым на 2016-2050 годы, текст которого опубликован на интернет-портале правовой информации 03.12.2015. В силу ч.3 ст.169 ЖК РФ собственники жилых и неж</w:t>
      </w:r>
      <w:r w:rsidRPr="00E6379A">
        <w:rPr>
          <w:sz w:val="25"/>
          <w:szCs w:val="25"/>
        </w:rPr>
        <w:t xml:space="preserve">илых помещений в многоквартирных домах, включенных в Региональную программу, обязаны оплачивать взносы на капитальный ремонт, начиная с сентября 2016 г. </w:t>
      </w:r>
    </w:p>
    <w:p w:rsidR="006454F4" w:rsidRPr="00E6379A" w:rsidP="006454F4">
      <w:pPr>
        <w:ind w:firstLine="720"/>
        <w:jc w:val="both"/>
        <w:rPr>
          <w:sz w:val="25"/>
          <w:szCs w:val="25"/>
        </w:rPr>
      </w:pPr>
      <w:r w:rsidRPr="00E6379A">
        <w:rPr>
          <w:sz w:val="25"/>
          <w:szCs w:val="25"/>
        </w:rPr>
        <w:t xml:space="preserve">Постановлением администрации г. Красноперекопска Республики Крым от 06.06.2016 №302 собственники </w:t>
      </w:r>
      <w:r w:rsidRPr="00E6379A">
        <w:rPr>
          <w:sz w:val="25"/>
          <w:szCs w:val="25"/>
        </w:rPr>
        <w:t>помещений многоквартирного дома №17 по ул. Чапаева г. Красноперекопск формируют фонд капитального ремонта на счете регионального оператора. Минимальный размер ежемесячного взноса на капитальный ремонт общего имущества в многоквартирных домах, расположенных</w:t>
      </w:r>
      <w:r w:rsidRPr="00E6379A">
        <w:rPr>
          <w:sz w:val="25"/>
          <w:szCs w:val="25"/>
        </w:rPr>
        <w:t xml:space="preserve"> на территории Республики Крым в 2016, 2017, 2018, 2019, 2020 годах установлен за один квадратный метр в размере 6,16 руб., в 2021 г. – 6,50 руб., в 2022 г. – 6,80 руб., в 2023 г. – 7,21 руб.</w:t>
      </w:r>
    </w:p>
    <w:p w:rsidR="006454F4" w:rsidRPr="00E6379A" w:rsidP="00470688">
      <w:pPr>
        <w:ind w:firstLine="720"/>
        <w:jc w:val="both"/>
        <w:rPr>
          <w:sz w:val="25"/>
          <w:szCs w:val="25"/>
        </w:rPr>
      </w:pPr>
      <w:r w:rsidRPr="00E6379A">
        <w:rPr>
          <w:sz w:val="25"/>
          <w:szCs w:val="25"/>
        </w:rPr>
        <w:t>23 ноября 2023 года мировым судьей судебного участка № 58 Красно</w:t>
      </w:r>
      <w:r w:rsidRPr="00E6379A">
        <w:rPr>
          <w:sz w:val="25"/>
          <w:szCs w:val="25"/>
        </w:rPr>
        <w:t>перекопского судебного района Республики Крым вынесен судебный приказ о взыскании с ответчика Рябоконь Р.Ф. в пользу истца некоммерческой организации «Региональный фонд капитального ремонта многоквартирных домов Республики Крым» задолженности по оплате взн</w:t>
      </w:r>
      <w:r w:rsidRPr="00E6379A">
        <w:rPr>
          <w:sz w:val="25"/>
          <w:szCs w:val="25"/>
        </w:rPr>
        <w:t>осов на капитальный ремонт, который был отменен определением мирового судьи судебного участка № 58 Красноперекопского судебного района Республики Крым 05.12.2023.</w:t>
      </w:r>
      <w:r w:rsidRPr="00E6379A" w:rsidR="00470688">
        <w:rPr>
          <w:sz w:val="25"/>
          <w:szCs w:val="25"/>
        </w:rPr>
        <w:t xml:space="preserve"> Истец заявляет требования в порядке ч. 1 ст. 196 ГК РФ в рамках срока исковой </w:t>
      </w:r>
      <w:r w:rsidRPr="00E6379A" w:rsidR="00470688">
        <w:rPr>
          <w:sz w:val="25"/>
          <w:szCs w:val="25"/>
        </w:rPr>
        <w:t>давности.</w:t>
      </w:r>
      <w:r w:rsidRPr="00E6379A">
        <w:rPr>
          <w:sz w:val="25"/>
          <w:szCs w:val="25"/>
        </w:rPr>
        <w:t>Ответч</w:t>
      </w:r>
      <w:r w:rsidRPr="00E6379A">
        <w:rPr>
          <w:sz w:val="25"/>
          <w:szCs w:val="25"/>
        </w:rPr>
        <w:t xml:space="preserve">ик не оплачивал взносы на капитальный ремонт в период с </w:t>
      </w:r>
      <w:r w:rsidRPr="00E6379A" w:rsidR="00470688">
        <w:rPr>
          <w:sz w:val="25"/>
          <w:szCs w:val="25"/>
        </w:rPr>
        <w:t xml:space="preserve">октября </w:t>
      </w:r>
      <w:r w:rsidRPr="00E6379A">
        <w:rPr>
          <w:sz w:val="25"/>
          <w:szCs w:val="25"/>
        </w:rPr>
        <w:t xml:space="preserve"> </w:t>
      </w:r>
      <w:r w:rsidRPr="00E6379A" w:rsidR="00470688">
        <w:rPr>
          <w:sz w:val="25"/>
          <w:szCs w:val="25"/>
        </w:rPr>
        <w:t>2020</w:t>
      </w:r>
      <w:r w:rsidRPr="00E6379A">
        <w:rPr>
          <w:sz w:val="25"/>
          <w:szCs w:val="25"/>
        </w:rPr>
        <w:t xml:space="preserve"> г. по </w:t>
      </w:r>
      <w:r w:rsidRPr="00E6379A" w:rsidR="00470688">
        <w:rPr>
          <w:sz w:val="25"/>
          <w:szCs w:val="25"/>
        </w:rPr>
        <w:t>декабрь</w:t>
      </w:r>
      <w:r w:rsidRPr="00E6379A">
        <w:rPr>
          <w:sz w:val="25"/>
          <w:szCs w:val="25"/>
        </w:rPr>
        <w:t xml:space="preserve"> 2023 г. </w:t>
      </w:r>
      <w:r w:rsidRPr="00E6379A" w:rsidR="00470688">
        <w:rPr>
          <w:sz w:val="25"/>
          <w:szCs w:val="25"/>
        </w:rPr>
        <w:t xml:space="preserve">, у </w:t>
      </w:r>
      <w:r w:rsidRPr="00E6379A">
        <w:rPr>
          <w:sz w:val="25"/>
          <w:szCs w:val="25"/>
        </w:rPr>
        <w:t xml:space="preserve"> ответчика образовалась задолженность в размере </w:t>
      </w:r>
      <w:r w:rsidRPr="00E6379A" w:rsidR="00470688">
        <w:rPr>
          <w:sz w:val="25"/>
          <w:szCs w:val="25"/>
        </w:rPr>
        <w:t>24 607,80</w:t>
      </w:r>
      <w:r w:rsidRPr="00E6379A">
        <w:rPr>
          <w:sz w:val="25"/>
          <w:szCs w:val="25"/>
        </w:rPr>
        <w:t xml:space="preserve"> руб. Сумма начисленной пени составила </w:t>
      </w:r>
      <w:r w:rsidRPr="00E6379A" w:rsidR="00470688">
        <w:rPr>
          <w:sz w:val="25"/>
          <w:szCs w:val="25"/>
        </w:rPr>
        <w:t>3597,48</w:t>
      </w:r>
      <w:r w:rsidRPr="00E6379A">
        <w:rPr>
          <w:sz w:val="25"/>
          <w:szCs w:val="25"/>
        </w:rPr>
        <w:t xml:space="preserve"> руб. Просит взыскать с ответчика задолженность и пени в </w:t>
      </w:r>
      <w:r w:rsidRPr="00E6379A">
        <w:rPr>
          <w:sz w:val="25"/>
          <w:szCs w:val="25"/>
        </w:rPr>
        <w:t xml:space="preserve">указанных размерах, расходы по уплате государственной пошлины в размере </w:t>
      </w:r>
      <w:r w:rsidRPr="00E6379A" w:rsidR="00470688">
        <w:rPr>
          <w:sz w:val="25"/>
          <w:szCs w:val="25"/>
        </w:rPr>
        <w:t>1046,16</w:t>
      </w:r>
      <w:r w:rsidRPr="00E6379A">
        <w:rPr>
          <w:sz w:val="25"/>
          <w:szCs w:val="25"/>
        </w:rPr>
        <w:t xml:space="preserve"> руб., при вынесении решения пересчитать размер неустойки, начисленный на дату вынесения решения с указанием, что такое взыскание производится до момента фактического исполнения</w:t>
      </w:r>
      <w:r w:rsidRPr="00E6379A">
        <w:rPr>
          <w:sz w:val="25"/>
          <w:szCs w:val="25"/>
        </w:rPr>
        <w:t xml:space="preserve"> обязательства.</w:t>
      </w:r>
    </w:p>
    <w:p w:rsidR="006454F4" w:rsidRPr="00E6379A" w:rsidP="006454F4">
      <w:pPr>
        <w:ind w:firstLine="720"/>
        <w:jc w:val="both"/>
        <w:rPr>
          <w:sz w:val="25"/>
          <w:szCs w:val="25"/>
        </w:rPr>
      </w:pPr>
      <w:r w:rsidRPr="00E6379A">
        <w:rPr>
          <w:sz w:val="25"/>
          <w:szCs w:val="25"/>
        </w:rPr>
        <w:t xml:space="preserve">В судебное заседание представитель истца не явился, будучи надлежащим образом извещённым о месте и времени рассмотрения дела, в ходатайстве просил о рассмотрении дела в его отсутствие. </w:t>
      </w:r>
    </w:p>
    <w:p w:rsidR="00470688" w:rsidRPr="00E6379A" w:rsidP="006454F4">
      <w:pPr>
        <w:ind w:firstLine="720"/>
        <w:jc w:val="both"/>
        <w:rPr>
          <w:sz w:val="25"/>
          <w:szCs w:val="25"/>
        </w:rPr>
      </w:pPr>
      <w:r w:rsidRPr="00E6379A">
        <w:rPr>
          <w:sz w:val="25"/>
          <w:szCs w:val="25"/>
        </w:rPr>
        <w:t>Ответчик Рябоконь Р.Ф. в судебное заседание не явилась</w:t>
      </w:r>
      <w:r w:rsidRPr="00E6379A">
        <w:rPr>
          <w:sz w:val="25"/>
          <w:szCs w:val="25"/>
        </w:rPr>
        <w:t>, извещена надлежаще.</w:t>
      </w:r>
    </w:p>
    <w:p w:rsidR="006454F4" w:rsidRPr="00E6379A" w:rsidP="00470688">
      <w:pPr>
        <w:ind w:firstLine="708"/>
        <w:jc w:val="both"/>
        <w:rPr>
          <w:sz w:val="25"/>
          <w:szCs w:val="25"/>
        </w:rPr>
      </w:pPr>
      <w:r w:rsidRPr="00E6379A">
        <w:rPr>
          <w:sz w:val="25"/>
          <w:szCs w:val="25"/>
        </w:rPr>
        <w:t>Представитель ответчика Ванагене В.В. в судебном заседании предоставила суду ходатайство о применении срока исковой давности, суду пояснила, что ответчик признает исковые требования в пределах срока исковой давности  до момента прекра</w:t>
      </w:r>
      <w:r w:rsidRPr="00E6379A">
        <w:rPr>
          <w:sz w:val="25"/>
          <w:szCs w:val="25"/>
        </w:rPr>
        <w:t xml:space="preserve">щения  собственности на указанное  нежилое помещение. </w:t>
      </w:r>
      <w:r w:rsidRPr="00E6379A" w:rsidR="00157D59">
        <w:rPr>
          <w:sz w:val="25"/>
          <w:szCs w:val="25"/>
        </w:rPr>
        <w:t>Просила суд учесть тот момент, что ответчик по состоянию здоровья  физически не мог и не использовал помещение по назначению. Помещение не сдавалось в аренду и не приносило никакого дохода. Ответчик является инвалидом первой нерабочей группы по зрению. Единственный доход у ответчика это пенсия</w:t>
      </w:r>
    </w:p>
    <w:p w:rsidR="006454F4" w:rsidRPr="00E6379A" w:rsidP="006454F4">
      <w:pPr>
        <w:ind w:firstLine="720"/>
        <w:jc w:val="both"/>
        <w:rPr>
          <w:sz w:val="25"/>
          <w:szCs w:val="25"/>
        </w:rPr>
      </w:pPr>
      <w:r w:rsidRPr="00E6379A">
        <w:rPr>
          <w:sz w:val="25"/>
          <w:szCs w:val="25"/>
        </w:rPr>
        <w:t xml:space="preserve">Суд, руководствуясь ст.167 ГПК РФ, счел возможным рассмотреть дело в отсутствие представителя истца и ответчика. </w:t>
      </w:r>
    </w:p>
    <w:p w:rsidR="006454F4" w:rsidRPr="00E6379A" w:rsidP="00157D59">
      <w:pPr>
        <w:ind w:firstLine="708"/>
        <w:jc w:val="both"/>
        <w:rPr>
          <w:sz w:val="25"/>
          <w:szCs w:val="25"/>
        </w:rPr>
      </w:pPr>
      <w:r w:rsidRPr="00E6379A">
        <w:rPr>
          <w:sz w:val="25"/>
          <w:szCs w:val="25"/>
        </w:rPr>
        <w:t>Исследовав материалы дела и гражданское дело №2-</w:t>
      </w:r>
      <w:r w:rsidRPr="00E6379A" w:rsidR="00157D59">
        <w:rPr>
          <w:sz w:val="25"/>
          <w:szCs w:val="25"/>
        </w:rPr>
        <w:t>58-963/2023</w:t>
      </w:r>
      <w:r w:rsidRPr="00E6379A">
        <w:rPr>
          <w:sz w:val="25"/>
          <w:szCs w:val="25"/>
        </w:rPr>
        <w:t>, оценив в совокупности имеющиеся доказательства по делу, мировой судья приходит к следующим выводам.</w:t>
      </w:r>
    </w:p>
    <w:p w:rsidR="00157D59" w:rsidRPr="00E6379A" w:rsidP="00157D59">
      <w:pPr>
        <w:pStyle w:val="NormalWeb"/>
        <w:spacing w:before="0" w:beforeAutospacing="0" w:after="0" w:afterAutospacing="0" w:line="288" w:lineRule="atLeast"/>
        <w:ind w:firstLine="540"/>
        <w:jc w:val="both"/>
        <w:rPr>
          <w:sz w:val="25"/>
          <w:szCs w:val="25"/>
        </w:rPr>
      </w:pPr>
      <w:r w:rsidRPr="00E6379A">
        <w:rPr>
          <w:sz w:val="25"/>
          <w:szCs w:val="25"/>
        </w:rPr>
        <w:t>Обязанность собственников помещений в многоквартирном доме нести расходы по оплате взносов на капитальный ремонт предусмотрена статьей 210 ГК РФ</w:t>
      </w:r>
      <w:r w:rsidRPr="00E6379A">
        <w:rPr>
          <w:sz w:val="25"/>
          <w:szCs w:val="25"/>
        </w:rPr>
        <w:t>, ч. 3 ст. 30 и ч. 3 ст. 171 ЖК РФ.</w:t>
      </w:r>
    </w:p>
    <w:p w:rsidR="006454F4" w:rsidRPr="00E6379A" w:rsidP="006454F4">
      <w:pPr>
        <w:ind w:firstLine="720"/>
        <w:jc w:val="both"/>
        <w:rPr>
          <w:sz w:val="25"/>
          <w:szCs w:val="25"/>
        </w:rPr>
      </w:pPr>
      <w:r w:rsidRPr="00E6379A">
        <w:rPr>
          <w:sz w:val="25"/>
          <w:szCs w:val="25"/>
        </w:rPr>
        <w:t>На основании п. 2 ч. 1 ст. 154 ЖК РФ капитальный ремонт общего имущества в многоквартирном доме проводится за счет собственника жилищного фонда.</w:t>
      </w:r>
    </w:p>
    <w:p w:rsidR="006454F4" w:rsidRPr="00E6379A" w:rsidP="006454F4">
      <w:pPr>
        <w:ind w:firstLine="720"/>
        <w:jc w:val="both"/>
        <w:rPr>
          <w:sz w:val="25"/>
          <w:szCs w:val="25"/>
        </w:rPr>
      </w:pPr>
      <w:r w:rsidRPr="00E6379A">
        <w:rPr>
          <w:sz w:val="25"/>
          <w:szCs w:val="25"/>
        </w:rPr>
        <w:t>Согласно ч.1 ст. 158 ЖК РФ собственник помещения в многоквартирном доме обя</w:t>
      </w:r>
      <w:r w:rsidRPr="00E6379A">
        <w:rPr>
          <w:sz w:val="25"/>
          <w:szCs w:val="25"/>
        </w:rPr>
        <w:t xml:space="preserve">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w:t>
      </w:r>
      <w:r w:rsidRPr="00E6379A">
        <w:rPr>
          <w:sz w:val="25"/>
          <w:szCs w:val="25"/>
        </w:rPr>
        <w:t>помещения, взносов на капитальный ремонт.</w:t>
      </w:r>
    </w:p>
    <w:p w:rsidR="006454F4" w:rsidRPr="00E6379A" w:rsidP="006454F4">
      <w:pPr>
        <w:ind w:firstLine="720"/>
        <w:jc w:val="both"/>
        <w:rPr>
          <w:sz w:val="25"/>
          <w:szCs w:val="25"/>
        </w:rPr>
      </w:pPr>
      <w:r w:rsidRPr="00E6379A">
        <w:rPr>
          <w:sz w:val="25"/>
          <w:szCs w:val="25"/>
        </w:rPr>
        <w:t>В соответствии с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6454F4" w:rsidRPr="00E6379A" w:rsidP="006454F4">
      <w:pPr>
        <w:pStyle w:val="ConsPlusNormal"/>
        <w:ind w:firstLine="708"/>
        <w:jc w:val="both"/>
        <w:rPr>
          <w:rFonts w:ascii="Times New Roman" w:hAnsi="Times New Roman" w:cs="Times New Roman"/>
          <w:sz w:val="25"/>
          <w:szCs w:val="25"/>
        </w:rPr>
      </w:pPr>
      <w:r w:rsidRPr="00E6379A">
        <w:rPr>
          <w:rFonts w:ascii="Times New Roman" w:hAnsi="Times New Roman" w:cs="Times New Roman"/>
          <w:sz w:val="25"/>
          <w:szCs w:val="25"/>
        </w:rPr>
        <w:t>Согласно ч. 3 ст. 170 ЖК РФ собст</w:t>
      </w:r>
      <w:r w:rsidRPr="00E6379A">
        <w:rPr>
          <w:rFonts w:ascii="Times New Roman" w:hAnsi="Times New Roman" w:cs="Times New Roman"/>
          <w:sz w:val="25"/>
          <w:szCs w:val="25"/>
        </w:rPr>
        <w:t>венники помещений в многоквартирном доме вправе выбрать один из способов формирования фонда, а именно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w:t>
      </w:r>
      <w:r w:rsidRPr="00E6379A">
        <w:rPr>
          <w:rFonts w:ascii="Times New Roman" w:hAnsi="Times New Roman" w:cs="Times New Roman"/>
          <w:sz w:val="25"/>
          <w:szCs w:val="25"/>
        </w:rPr>
        <w:t>циальном счете, либо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Pr="00E6379A">
        <w:rPr>
          <w:rFonts w:ascii="Times New Roman" w:hAnsi="Times New Roman" w:cs="Times New Roman"/>
          <w:sz w:val="25"/>
          <w:szCs w:val="25"/>
        </w:rPr>
        <w:t>.</w:t>
      </w:r>
    </w:p>
    <w:p w:rsidR="006454F4" w:rsidRPr="00E6379A" w:rsidP="006454F4">
      <w:pPr>
        <w:autoSpaceDE w:val="0"/>
        <w:autoSpaceDN w:val="0"/>
        <w:adjustRightInd w:val="0"/>
        <w:ind w:firstLine="708"/>
        <w:jc w:val="both"/>
        <w:rPr>
          <w:sz w:val="25"/>
          <w:szCs w:val="25"/>
        </w:rPr>
      </w:pPr>
      <w:r w:rsidRPr="00E6379A">
        <w:rPr>
          <w:sz w:val="25"/>
          <w:szCs w:val="25"/>
        </w:rPr>
        <w:t xml:space="preserve">В соответствии с ч 5 ст.170 ЖК РФ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w:t>
      </w:r>
      <w:r w:rsidRPr="00E6379A">
        <w:rPr>
          <w:sz w:val="25"/>
          <w:szCs w:val="25"/>
        </w:rPr>
        <w:t xml:space="preserve">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w:t>
      </w:r>
      <w:r w:rsidRPr="00E6379A">
        <w:rPr>
          <w:sz w:val="25"/>
          <w:szCs w:val="25"/>
        </w:rPr>
        <w:t>счете, от</w:t>
      </w:r>
      <w:r w:rsidRPr="00E6379A">
        <w:rPr>
          <w:sz w:val="25"/>
          <w:szCs w:val="25"/>
        </w:rPr>
        <w:t>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454F4" w:rsidRPr="00E6379A" w:rsidP="006454F4">
      <w:pPr>
        <w:autoSpaceDE w:val="0"/>
        <w:autoSpaceDN w:val="0"/>
        <w:adjustRightInd w:val="0"/>
        <w:ind w:firstLine="708"/>
        <w:jc w:val="both"/>
        <w:rPr>
          <w:sz w:val="25"/>
          <w:szCs w:val="25"/>
        </w:rPr>
      </w:pPr>
      <w:r w:rsidRPr="00E6379A">
        <w:rPr>
          <w:sz w:val="25"/>
          <w:szCs w:val="25"/>
        </w:rPr>
        <w:t xml:space="preserve">При этом согласно ч. 7 </w:t>
      </w:r>
      <w:r w:rsidRPr="00E6379A">
        <w:rPr>
          <w:sz w:val="25"/>
          <w:szCs w:val="25"/>
        </w:rPr>
        <w:t>ст. 170 ЖК РФ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w:t>
      </w:r>
      <w:r w:rsidRPr="00E6379A">
        <w:rPr>
          <w:sz w:val="25"/>
          <w:szCs w:val="25"/>
        </w:rPr>
        <w:t>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6454F4" w:rsidRPr="00E6379A" w:rsidP="006454F4">
      <w:pPr>
        <w:pStyle w:val="ConsPlusNormal"/>
        <w:ind w:firstLine="708"/>
        <w:jc w:val="both"/>
        <w:rPr>
          <w:rFonts w:ascii="Times New Roman" w:hAnsi="Times New Roman" w:cs="Times New Roman"/>
          <w:sz w:val="25"/>
          <w:szCs w:val="25"/>
        </w:rPr>
      </w:pPr>
      <w:r w:rsidRPr="00E6379A">
        <w:rPr>
          <w:rFonts w:ascii="Times New Roman" w:hAnsi="Times New Roman" w:cs="Times New Roman"/>
          <w:sz w:val="25"/>
          <w:szCs w:val="25"/>
        </w:rPr>
        <w:t xml:space="preserve">В соответствии с ч. 4 </w:t>
      </w:r>
      <w:r w:rsidRPr="00E6379A">
        <w:rPr>
          <w:rFonts w:ascii="Times New Roman" w:hAnsi="Times New Roman" w:cs="Times New Roman"/>
          <w:sz w:val="25"/>
          <w:szCs w:val="25"/>
        </w:rPr>
        <w:t>ст. 175 ЖК РФ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w:t>
      </w:r>
      <w:r w:rsidRPr="00E6379A">
        <w:rPr>
          <w:rFonts w:ascii="Times New Roman" w:hAnsi="Times New Roman" w:cs="Times New Roman"/>
          <w:sz w:val="25"/>
          <w:szCs w:val="25"/>
        </w:rPr>
        <w:t>ий только в одном многоквартирном доме.</w:t>
      </w:r>
    </w:p>
    <w:p w:rsidR="006454F4" w:rsidRPr="00E6379A" w:rsidP="006454F4">
      <w:pPr>
        <w:pStyle w:val="ConsPlusNormal"/>
        <w:ind w:firstLine="708"/>
        <w:jc w:val="both"/>
        <w:rPr>
          <w:rFonts w:ascii="Times New Roman" w:hAnsi="Times New Roman" w:cs="Times New Roman"/>
          <w:sz w:val="25"/>
          <w:szCs w:val="25"/>
        </w:rPr>
      </w:pPr>
      <w:r w:rsidRPr="00E6379A">
        <w:rPr>
          <w:rFonts w:ascii="Times New Roman" w:hAnsi="Times New Roman" w:cs="Times New Roman"/>
          <w:sz w:val="25"/>
          <w:szCs w:val="25"/>
        </w:rPr>
        <w:t xml:space="preserve">В целях реализации положений Жилищного кодекса РФ принят Закон Республики Крым от 19.12.2014 № 48-ЗРК/2014 «О некоторых вопросах в сфере обеспечения проведения капитального ремонта общего имущества в многоквартирных </w:t>
      </w:r>
      <w:r w:rsidRPr="00E6379A">
        <w:rPr>
          <w:rFonts w:ascii="Times New Roman" w:hAnsi="Times New Roman" w:cs="Times New Roman"/>
          <w:sz w:val="25"/>
          <w:szCs w:val="25"/>
        </w:rPr>
        <w:t>домах, расположенных на территории Республики Крым», которым установлены правовые основы своевременного проведения капитального ремонта общего имущества в многоквартирных домах, расположенных на территории Республики Крым, определен порядок накопления, уче</w:t>
      </w:r>
      <w:r w:rsidRPr="00E6379A">
        <w:rPr>
          <w:rFonts w:ascii="Times New Roman" w:hAnsi="Times New Roman" w:cs="Times New Roman"/>
          <w:sz w:val="25"/>
          <w:szCs w:val="25"/>
        </w:rPr>
        <w:t>та и целевого использования денежных средств, предназначенных для проведения капитального ремонта общего имущества в многоквартирных домах, расположенных на территории Республики Крым, а также порядок подготовки и утверждения региональной программы капитал</w:t>
      </w:r>
      <w:r w:rsidRPr="00E6379A">
        <w:rPr>
          <w:rFonts w:ascii="Times New Roman" w:hAnsi="Times New Roman" w:cs="Times New Roman"/>
          <w:sz w:val="25"/>
          <w:szCs w:val="25"/>
        </w:rPr>
        <w:t>ьного ремонта общего имущества в многоквартирных домах.</w:t>
      </w:r>
    </w:p>
    <w:p w:rsidR="006454F4" w:rsidRPr="00E6379A" w:rsidP="006454F4">
      <w:pPr>
        <w:ind w:firstLine="720"/>
        <w:jc w:val="both"/>
        <w:rPr>
          <w:sz w:val="25"/>
          <w:szCs w:val="25"/>
        </w:rPr>
      </w:pPr>
      <w:r w:rsidRPr="00E6379A">
        <w:rPr>
          <w:sz w:val="25"/>
          <w:szCs w:val="25"/>
        </w:rPr>
        <w:t>На основании Жилищного кодекса РФ, Закона Республики Крым от 19.12.2014 № 48-ЗРК/2014, Постановлением Совета министров Республики Крым от 30.11.2015 № 753 утверждена Региональная программа капитальног</w:t>
      </w:r>
      <w:r w:rsidRPr="00E6379A">
        <w:rPr>
          <w:sz w:val="25"/>
          <w:szCs w:val="25"/>
        </w:rPr>
        <w:t>о ремонта общего имущества в многоквартирных домах на территории Республики Крым на 2016-</w:t>
      </w:r>
      <w:r w:rsidR="00E6379A">
        <w:rPr>
          <w:sz w:val="25"/>
          <w:szCs w:val="25"/>
        </w:rPr>
        <w:t xml:space="preserve">2045 </w:t>
      </w:r>
      <w:r w:rsidRPr="00E6379A">
        <w:rPr>
          <w:sz w:val="25"/>
          <w:szCs w:val="25"/>
        </w:rPr>
        <w:t xml:space="preserve"> годы, опубликованная 03.12.2015 на официальном интернет-портале правовой информации </w:t>
      </w:r>
      <w:hyperlink r:id="rId4" w:history="1">
        <w:r w:rsidRPr="00E6379A">
          <w:rPr>
            <w:rStyle w:val="Hyperlink"/>
            <w:sz w:val="25"/>
            <w:szCs w:val="25"/>
            <w:lang w:val="en-US"/>
          </w:rPr>
          <w:t>http</w:t>
        </w:r>
        <w:r w:rsidRPr="00E6379A">
          <w:rPr>
            <w:rStyle w:val="Hyperlink"/>
            <w:sz w:val="25"/>
            <w:szCs w:val="25"/>
          </w:rPr>
          <w:t>://</w:t>
        </w:r>
        <w:r w:rsidRPr="00E6379A">
          <w:rPr>
            <w:rStyle w:val="Hyperlink"/>
            <w:sz w:val="25"/>
            <w:szCs w:val="25"/>
            <w:lang w:val="en-US"/>
          </w:rPr>
          <w:t>publication</w:t>
        </w:r>
        <w:r w:rsidRPr="00E6379A">
          <w:rPr>
            <w:rStyle w:val="Hyperlink"/>
            <w:sz w:val="25"/>
            <w:szCs w:val="25"/>
          </w:rPr>
          <w:t>.</w:t>
        </w:r>
        <w:r w:rsidRPr="00E6379A">
          <w:rPr>
            <w:rStyle w:val="Hyperlink"/>
            <w:sz w:val="25"/>
            <w:szCs w:val="25"/>
            <w:lang w:val="en-US"/>
          </w:rPr>
          <w:t>pravo</w:t>
        </w:r>
        <w:r w:rsidRPr="00E6379A">
          <w:rPr>
            <w:rStyle w:val="Hyperlink"/>
            <w:sz w:val="25"/>
            <w:szCs w:val="25"/>
          </w:rPr>
          <w:t>.</w:t>
        </w:r>
        <w:r w:rsidRPr="00E6379A">
          <w:rPr>
            <w:rStyle w:val="Hyperlink"/>
            <w:sz w:val="25"/>
            <w:szCs w:val="25"/>
            <w:lang w:val="en-US"/>
          </w:rPr>
          <w:t>gov</w:t>
        </w:r>
        <w:r w:rsidRPr="00E6379A">
          <w:rPr>
            <w:rStyle w:val="Hyperlink"/>
            <w:sz w:val="25"/>
            <w:szCs w:val="25"/>
          </w:rPr>
          <w:t>.</w:t>
        </w:r>
        <w:r w:rsidRPr="00E6379A">
          <w:rPr>
            <w:rStyle w:val="Hyperlink"/>
            <w:sz w:val="25"/>
            <w:szCs w:val="25"/>
            <w:lang w:val="en-US"/>
          </w:rPr>
          <w:t>ru</w:t>
        </w:r>
      </w:hyperlink>
      <w:r w:rsidRPr="00E6379A">
        <w:rPr>
          <w:sz w:val="25"/>
          <w:szCs w:val="25"/>
        </w:rPr>
        <w:t xml:space="preserve">. </w:t>
      </w:r>
    </w:p>
    <w:p w:rsidR="006454F4" w:rsidRPr="00E6379A" w:rsidP="006454F4">
      <w:pPr>
        <w:ind w:firstLine="720"/>
        <w:jc w:val="both"/>
        <w:rPr>
          <w:sz w:val="25"/>
          <w:szCs w:val="25"/>
        </w:rPr>
      </w:pPr>
      <w:r w:rsidRPr="00E6379A">
        <w:rPr>
          <w:sz w:val="25"/>
          <w:szCs w:val="25"/>
        </w:rPr>
        <w:t>Постановлением администрации г. Красноперекопска Республики Крым от 06.06.2016 №302, опубликованным на официальном сайте, установлено, что формирование фонда капитального ремонта в отношении многоквартирных домов (Приложение №1) осуществляется на счет</w:t>
      </w:r>
      <w:r w:rsidRPr="00E6379A">
        <w:rPr>
          <w:sz w:val="25"/>
          <w:szCs w:val="25"/>
        </w:rPr>
        <w:t xml:space="preserve">е регионального оператора. В Приложении указан многоквартирный дом по адресу: </w:t>
      </w:r>
      <w:r w:rsidR="00B63106">
        <w:rPr>
          <w:sz w:val="25"/>
          <w:szCs w:val="25"/>
        </w:rPr>
        <w:t>адрес</w:t>
      </w:r>
      <w:r w:rsidRPr="00E6379A" w:rsidR="00157D59">
        <w:rPr>
          <w:sz w:val="25"/>
          <w:szCs w:val="25"/>
        </w:rPr>
        <w:t>.</w:t>
      </w:r>
      <w:r w:rsidRPr="00E6379A">
        <w:rPr>
          <w:sz w:val="25"/>
          <w:szCs w:val="25"/>
        </w:rPr>
        <w:t xml:space="preserve"> </w:t>
      </w:r>
    </w:p>
    <w:p w:rsidR="006454F4" w:rsidRPr="00E6379A" w:rsidP="006454F4">
      <w:pPr>
        <w:ind w:firstLine="708"/>
        <w:jc w:val="both"/>
        <w:rPr>
          <w:sz w:val="25"/>
          <w:szCs w:val="25"/>
        </w:rPr>
      </w:pPr>
      <w:r w:rsidRPr="00E6379A">
        <w:rPr>
          <w:sz w:val="25"/>
          <w:szCs w:val="25"/>
        </w:rPr>
        <w:t xml:space="preserve">На основании ч.1 ст.61 ГПК РФ данные обстоятельства признаются судом общеизвестными и не нуждающимися в доказывании. </w:t>
      </w:r>
    </w:p>
    <w:p w:rsidR="006454F4" w:rsidRPr="00E6379A" w:rsidP="006454F4">
      <w:pPr>
        <w:ind w:firstLine="708"/>
        <w:jc w:val="both"/>
        <w:rPr>
          <w:sz w:val="25"/>
          <w:szCs w:val="25"/>
        </w:rPr>
      </w:pPr>
      <w:r w:rsidRPr="00E6379A">
        <w:rPr>
          <w:sz w:val="25"/>
          <w:szCs w:val="25"/>
        </w:rPr>
        <w:t>В силу ч. 3 ст. 169</w:t>
      </w:r>
      <w:r w:rsidRPr="00E6379A">
        <w:rPr>
          <w:sz w:val="25"/>
          <w:szCs w:val="25"/>
        </w:rPr>
        <w:t xml:space="preserve">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w:t>
      </w:r>
      <w:r w:rsidRPr="00E6379A">
        <w:rPr>
          <w:sz w:val="25"/>
          <w:szCs w:val="25"/>
        </w:rPr>
        <w:t>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6454F4" w:rsidRPr="00E6379A" w:rsidP="006454F4">
      <w:pPr>
        <w:ind w:firstLine="720"/>
        <w:jc w:val="both"/>
        <w:rPr>
          <w:sz w:val="25"/>
          <w:szCs w:val="25"/>
        </w:rPr>
      </w:pPr>
      <w:r w:rsidRPr="00E6379A">
        <w:rPr>
          <w:sz w:val="25"/>
          <w:szCs w:val="25"/>
        </w:rPr>
        <w:t xml:space="preserve">Судом установлено, что согласно выписке из Единого государственного реестра недвижимости </w:t>
      </w:r>
      <w:r w:rsidRPr="00E6379A" w:rsidR="00E02BD4">
        <w:rPr>
          <w:sz w:val="25"/>
          <w:szCs w:val="25"/>
        </w:rPr>
        <w:t>23.07.2018</w:t>
      </w:r>
      <w:r w:rsidRPr="00E6379A">
        <w:rPr>
          <w:sz w:val="25"/>
          <w:szCs w:val="25"/>
        </w:rPr>
        <w:t xml:space="preserve"> зарегистрировано право собственности </w:t>
      </w:r>
      <w:r w:rsidRPr="00E6379A" w:rsidR="00E02BD4">
        <w:rPr>
          <w:sz w:val="25"/>
          <w:szCs w:val="25"/>
        </w:rPr>
        <w:t>Рябоконь Р.Ф.</w:t>
      </w:r>
      <w:r w:rsidRPr="00E6379A">
        <w:rPr>
          <w:sz w:val="25"/>
          <w:szCs w:val="25"/>
        </w:rPr>
        <w:t xml:space="preserve"> </w:t>
      </w:r>
      <w:r w:rsidRPr="00E6379A" w:rsidR="00E02BD4">
        <w:rPr>
          <w:sz w:val="25"/>
          <w:szCs w:val="25"/>
        </w:rPr>
        <w:t>на нежилое помещение</w:t>
      </w:r>
      <w:r w:rsidRPr="00E6379A">
        <w:rPr>
          <w:sz w:val="25"/>
          <w:szCs w:val="25"/>
        </w:rPr>
        <w:t>, расположенн</w:t>
      </w:r>
      <w:r w:rsidRPr="00E6379A" w:rsidR="00E02BD4">
        <w:rPr>
          <w:sz w:val="25"/>
          <w:szCs w:val="25"/>
        </w:rPr>
        <w:t>ое</w:t>
      </w:r>
      <w:r w:rsidRPr="00E6379A">
        <w:rPr>
          <w:sz w:val="25"/>
          <w:szCs w:val="25"/>
        </w:rPr>
        <w:t xml:space="preserve"> по адресу: </w:t>
      </w:r>
      <w:r w:rsidR="00B63106">
        <w:rPr>
          <w:sz w:val="25"/>
          <w:szCs w:val="25"/>
        </w:rPr>
        <w:t>адрес</w:t>
      </w:r>
      <w:r w:rsidRPr="00E6379A">
        <w:rPr>
          <w:sz w:val="25"/>
          <w:szCs w:val="25"/>
        </w:rPr>
        <w:t>. (л.д.</w:t>
      </w:r>
      <w:r w:rsidRPr="00E6379A" w:rsidR="00E02BD4">
        <w:rPr>
          <w:sz w:val="25"/>
          <w:szCs w:val="25"/>
        </w:rPr>
        <w:t>6</w:t>
      </w:r>
      <w:r w:rsidRPr="00E6379A">
        <w:rPr>
          <w:sz w:val="25"/>
          <w:szCs w:val="25"/>
        </w:rPr>
        <w:t>).</w:t>
      </w:r>
      <w:r w:rsidRPr="00E6379A" w:rsidR="00E02BD4">
        <w:rPr>
          <w:sz w:val="25"/>
          <w:szCs w:val="25"/>
        </w:rPr>
        <w:t xml:space="preserve"> С 27.10.2023 нежилое помещение, расположенное по адресу: </w:t>
      </w:r>
      <w:r w:rsidR="00B63106">
        <w:rPr>
          <w:sz w:val="25"/>
          <w:szCs w:val="25"/>
        </w:rPr>
        <w:t xml:space="preserve">адрес </w:t>
      </w:r>
      <w:r w:rsidRPr="00E6379A" w:rsidR="00E02BD4">
        <w:rPr>
          <w:sz w:val="25"/>
          <w:szCs w:val="25"/>
        </w:rPr>
        <w:t xml:space="preserve"> принадлежит на праве собственности  </w:t>
      </w:r>
      <w:r w:rsidR="00B63106">
        <w:rPr>
          <w:sz w:val="25"/>
          <w:szCs w:val="25"/>
        </w:rPr>
        <w:t>ФИО, дата</w:t>
      </w:r>
      <w:r w:rsidRPr="00E6379A" w:rsidR="00E02BD4">
        <w:rPr>
          <w:sz w:val="25"/>
          <w:szCs w:val="25"/>
        </w:rPr>
        <w:t xml:space="preserve"> года рождения ( л.д.43-44).</w:t>
      </w:r>
    </w:p>
    <w:p w:rsidR="006454F4" w:rsidRPr="00E6379A" w:rsidP="006454F4">
      <w:pPr>
        <w:ind w:firstLine="720"/>
        <w:jc w:val="both"/>
        <w:rPr>
          <w:sz w:val="25"/>
          <w:szCs w:val="25"/>
        </w:rPr>
      </w:pPr>
      <w:r w:rsidRPr="00E6379A">
        <w:rPr>
          <w:sz w:val="25"/>
          <w:szCs w:val="25"/>
        </w:rPr>
        <w:t>В соответствии с ч. 2 ст. 181 ЖК РФ собственники помещений в многоквар</w:t>
      </w:r>
      <w:r w:rsidRPr="00E6379A">
        <w:rPr>
          <w:sz w:val="25"/>
          <w:szCs w:val="25"/>
        </w:rPr>
        <w:t xml:space="preserve">тирном доме при формировании фонда капитального ремонта на счете регионального оператора </w:t>
      </w:r>
      <w:r w:rsidRPr="00E6379A">
        <w:rPr>
          <w:sz w:val="25"/>
          <w:szCs w:val="25"/>
        </w:rPr>
        <w:t xml:space="preserve">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w:t>
      </w:r>
      <w:r w:rsidRPr="00E6379A">
        <w:rPr>
          <w:sz w:val="25"/>
          <w:szCs w:val="25"/>
        </w:rPr>
        <w:t>пени в связи с ненадлежащим исполнением указанными собственниками обязанности по уплате взносов на капитальный ремонт.</w:t>
      </w:r>
    </w:p>
    <w:p w:rsidR="006454F4" w:rsidRPr="00E6379A" w:rsidP="006454F4">
      <w:pPr>
        <w:ind w:firstLine="720"/>
        <w:jc w:val="both"/>
        <w:rPr>
          <w:sz w:val="25"/>
          <w:szCs w:val="25"/>
        </w:rPr>
      </w:pPr>
      <w:r w:rsidRPr="00E6379A">
        <w:rPr>
          <w:sz w:val="25"/>
          <w:szCs w:val="25"/>
        </w:rPr>
        <w:t>При этом на основании ч. 14.1 ст. 155 ЖК РФ собственники помещений в многоквартирном доме, несвоевременно и (или) не полностью уплатившие</w:t>
      </w:r>
      <w:r w:rsidRPr="00E6379A">
        <w:rPr>
          <w:sz w:val="25"/>
          <w:szCs w:val="25"/>
        </w:rPr>
        <w:t xml:space="preserve">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w:t>
      </w:r>
      <w:r w:rsidRPr="00E6379A">
        <w:rPr>
          <w:sz w:val="25"/>
          <w:szCs w:val="25"/>
        </w:rPr>
        <w:t>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454F4" w:rsidRPr="00E6379A" w:rsidP="006454F4">
      <w:pPr>
        <w:ind w:firstLine="720"/>
        <w:jc w:val="both"/>
        <w:rPr>
          <w:sz w:val="25"/>
          <w:szCs w:val="25"/>
        </w:rPr>
      </w:pPr>
      <w:r w:rsidRPr="00E6379A">
        <w:rPr>
          <w:sz w:val="25"/>
          <w:szCs w:val="25"/>
        </w:rPr>
        <w:t>Как следует из мате</w:t>
      </w:r>
      <w:r w:rsidRPr="00E6379A">
        <w:rPr>
          <w:sz w:val="25"/>
          <w:szCs w:val="25"/>
        </w:rPr>
        <w:t>риалов дела, ежемесячные взносы на капитальный ремонт ответчиком не вносились, в связи</w:t>
      </w:r>
      <w:r w:rsidRPr="00E6379A" w:rsidR="00137E4F">
        <w:rPr>
          <w:sz w:val="25"/>
          <w:szCs w:val="25"/>
        </w:rPr>
        <w:t>,</w:t>
      </w:r>
      <w:r w:rsidRPr="00E6379A">
        <w:rPr>
          <w:sz w:val="25"/>
          <w:szCs w:val="25"/>
        </w:rPr>
        <w:t xml:space="preserve"> с чем </w:t>
      </w:r>
      <w:r w:rsidRPr="00E6379A" w:rsidR="00137E4F">
        <w:rPr>
          <w:sz w:val="25"/>
          <w:szCs w:val="25"/>
        </w:rPr>
        <w:t>у ответчика образовалась задолженность и пеня.</w:t>
      </w:r>
    </w:p>
    <w:p w:rsidR="006454F4" w:rsidRPr="00E6379A" w:rsidP="006454F4">
      <w:pPr>
        <w:ind w:firstLine="720"/>
        <w:jc w:val="both"/>
        <w:rPr>
          <w:sz w:val="25"/>
          <w:szCs w:val="25"/>
        </w:rPr>
      </w:pPr>
      <w:r w:rsidRPr="00E6379A">
        <w:rPr>
          <w:sz w:val="25"/>
          <w:szCs w:val="25"/>
        </w:rPr>
        <w:t>Согласно ст. 309 ГК РФ обязательства должны исполняться надлежащим образом в соответствии с условиями обязательства</w:t>
      </w:r>
      <w:r w:rsidRPr="00E6379A">
        <w:rPr>
          <w:sz w:val="25"/>
          <w:szCs w:val="25"/>
        </w:rPr>
        <w:t xml:space="preserve"> и требованиями закона.</w:t>
      </w:r>
    </w:p>
    <w:p w:rsidR="006454F4" w:rsidRPr="00E6379A" w:rsidP="006454F4">
      <w:pPr>
        <w:ind w:firstLine="720"/>
        <w:jc w:val="both"/>
        <w:rPr>
          <w:sz w:val="25"/>
          <w:szCs w:val="25"/>
        </w:rPr>
      </w:pPr>
      <w:r w:rsidRPr="00E6379A">
        <w:rPr>
          <w:sz w:val="25"/>
          <w:szCs w:val="25"/>
        </w:rPr>
        <w:t>В соответствии со ст. 310 ГК РФ односторонний отказ от исполнения обязательств и одностороннее изменение его условий не допускается.</w:t>
      </w:r>
    </w:p>
    <w:p w:rsidR="006454F4" w:rsidRPr="00E6379A" w:rsidP="006454F4">
      <w:pPr>
        <w:ind w:firstLine="720"/>
        <w:jc w:val="both"/>
        <w:rPr>
          <w:sz w:val="25"/>
          <w:szCs w:val="25"/>
        </w:rPr>
      </w:pPr>
      <w:r w:rsidRPr="00E6379A">
        <w:rPr>
          <w:sz w:val="25"/>
          <w:szCs w:val="25"/>
        </w:rPr>
        <w:t>В силу ст.9 ГК РФ граждане по своему усмотрению осуществляют принадлежащие им гражданские права.</w:t>
      </w:r>
    </w:p>
    <w:p w:rsidR="006454F4" w:rsidRPr="00E6379A" w:rsidP="006454F4">
      <w:pPr>
        <w:ind w:firstLine="720"/>
        <w:jc w:val="both"/>
        <w:rPr>
          <w:sz w:val="25"/>
          <w:szCs w:val="25"/>
        </w:rPr>
      </w:pPr>
      <w:r w:rsidRPr="00E6379A">
        <w:rPr>
          <w:sz w:val="25"/>
          <w:szCs w:val="25"/>
        </w:rPr>
        <w:t>По</w:t>
      </w:r>
      <w:r w:rsidRPr="00E6379A">
        <w:rPr>
          <w:sz w:val="25"/>
          <w:szCs w:val="25"/>
        </w:rPr>
        <w:t xml:space="preserve"> смыслу указанной нормы права сторона по спору вправе заявить в суде об истечении срока исковой давности применительно к спорным правоотношениям.</w:t>
      </w:r>
    </w:p>
    <w:p w:rsidR="006454F4" w:rsidRPr="00E6379A" w:rsidP="006454F4">
      <w:pPr>
        <w:ind w:firstLine="720"/>
        <w:jc w:val="both"/>
        <w:rPr>
          <w:sz w:val="25"/>
          <w:szCs w:val="25"/>
        </w:rPr>
      </w:pPr>
      <w:r w:rsidRPr="00E6379A">
        <w:rPr>
          <w:sz w:val="25"/>
          <w:szCs w:val="25"/>
        </w:rPr>
        <w:t>Представителем ответчика заявлено о применении срока исковой давности.</w:t>
      </w:r>
    </w:p>
    <w:p w:rsidR="006454F4" w:rsidRPr="00E6379A" w:rsidP="006454F4">
      <w:pPr>
        <w:ind w:firstLine="720"/>
        <w:jc w:val="both"/>
        <w:rPr>
          <w:sz w:val="25"/>
          <w:szCs w:val="25"/>
        </w:rPr>
      </w:pPr>
      <w:r w:rsidRPr="00E6379A">
        <w:rPr>
          <w:sz w:val="25"/>
          <w:szCs w:val="25"/>
        </w:rPr>
        <w:t>На основании п.2 ст.199 ГК РФ исковая д</w:t>
      </w:r>
      <w:r w:rsidRPr="00E6379A">
        <w:rPr>
          <w:sz w:val="25"/>
          <w:szCs w:val="25"/>
        </w:rPr>
        <w:t>авность применяется судом только по заявлению стороны в споре, сделанному до вынесения судом решения.</w:t>
      </w:r>
    </w:p>
    <w:p w:rsidR="006454F4" w:rsidRPr="00E6379A" w:rsidP="006454F4">
      <w:pPr>
        <w:ind w:firstLine="720"/>
        <w:jc w:val="both"/>
        <w:rPr>
          <w:sz w:val="25"/>
          <w:szCs w:val="25"/>
        </w:rPr>
      </w:pPr>
      <w:r w:rsidRPr="00E6379A">
        <w:rPr>
          <w:sz w:val="25"/>
          <w:szCs w:val="25"/>
        </w:rPr>
        <w:t>По общему правилу общий срок исковой давности устанавливается в три года.</w:t>
      </w:r>
    </w:p>
    <w:p w:rsidR="006454F4" w:rsidRPr="00E6379A" w:rsidP="006454F4">
      <w:pPr>
        <w:ind w:firstLine="720"/>
        <w:jc w:val="both"/>
        <w:rPr>
          <w:sz w:val="25"/>
          <w:szCs w:val="25"/>
        </w:rPr>
      </w:pPr>
      <w:r w:rsidRPr="00E6379A">
        <w:rPr>
          <w:sz w:val="25"/>
          <w:szCs w:val="25"/>
        </w:rPr>
        <w:t xml:space="preserve">В силу п.1 ст. 190 ГК РФ установленный законом, иными правовыми актами, сделкой </w:t>
      </w:r>
      <w:r w:rsidRPr="00E6379A">
        <w:rPr>
          <w:sz w:val="25"/>
          <w:szCs w:val="25"/>
        </w:rPr>
        <w:t>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454F4" w:rsidRPr="00E6379A" w:rsidP="006454F4">
      <w:pPr>
        <w:ind w:firstLine="720"/>
        <w:jc w:val="both"/>
        <w:rPr>
          <w:sz w:val="25"/>
          <w:szCs w:val="25"/>
        </w:rPr>
      </w:pPr>
      <w:r w:rsidRPr="00E6379A">
        <w:rPr>
          <w:sz w:val="25"/>
          <w:szCs w:val="25"/>
        </w:rPr>
        <w:t>Согласно п. 1 ст. 200 ГК РФ если законом не установлено иное, течение срока исковой давности начинае</w:t>
      </w:r>
      <w:r w:rsidRPr="00E6379A">
        <w:rPr>
          <w:sz w:val="25"/>
          <w:szCs w:val="25"/>
        </w:rPr>
        <w:t>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454F4" w:rsidRPr="00E6379A" w:rsidP="006454F4">
      <w:pPr>
        <w:ind w:firstLine="720"/>
        <w:jc w:val="both"/>
        <w:rPr>
          <w:sz w:val="25"/>
          <w:szCs w:val="25"/>
        </w:rPr>
      </w:pPr>
      <w:r w:rsidRPr="00E6379A">
        <w:rPr>
          <w:sz w:val="25"/>
          <w:szCs w:val="25"/>
        </w:rPr>
        <w:t xml:space="preserve">Из правовой позиции, изложенной в Определении Конституционного Суда РФ от 23.03.2010 №352-О-О, следует, </w:t>
      </w:r>
      <w:r w:rsidRPr="00E6379A">
        <w:rPr>
          <w:sz w:val="25"/>
          <w:szCs w:val="25"/>
        </w:rPr>
        <w:t>что установление сроков для обращения в суд обусловлено необходимостью обеспечить стабильность гражданского оборота.</w:t>
      </w:r>
    </w:p>
    <w:p w:rsidR="006454F4" w:rsidRPr="00E6379A" w:rsidP="006454F4">
      <w:pPr>
        <w:ind w:firstLine="720"/>
        <w:jc w:val="both"/>
        <w:rPr>
          <w:sz w:val="25"/>
          <w:szCs w:val="25"/>
        </w:rPr>
      </w:pPr>
      <w:r w:rsidRPr="00E6379A">
        <w:rPr>
          <w:sz w:val="25"/>
          <w:szCs w:val="25"/>
        </w:rPr>
        <w:t>Как разъяснено в п. 41 постановления Пленума Верховного Суда РФ от 27.06.2017 № 22 «О некоторых вопросах рассмотрения судами споров по опла</w:t>
      </w:r>
      <w:r w:rsidRPr="00E6379A">
        <w:rPr>
          <w:sz w:val="25"/>
          <w:szCs w:val="25"/>
        </w:rPr>
        <w:t>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w:t>
      </w:r>
      <w:r w:rsidRPr="00E6379A">
        <w:rPr>
          <w:sz w:val="25"/>
          <w:szCs w:val="25"/>
        </w:rPr>
        <w:t xml:space="preserve">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6454F4" w:rsidRPr="00E6379A" w:rsidP="006454F4">
      <w:pPr>
        <w:ind w:firstLine="720"/>
        <w:jc w:val="both"/>
        <w:rPr>
          <w:sz w:val="25"/>
          <w:szCs w:val="25"/>
        </w:rPr>
      </w:pPr>
      <w:r w:rsidRPr="00E6379A">
        <w:rPr>
          <w:sz w:val="25"/>
          <w:szCs w:val="25"/>
        </w:rPr>
        <w:t>Срок исковой давности по требов</w:t>
      </w:r>
      <w:r w:rsidRPr="00E6379A">
        <w:rPr>
          <w:sz w:val="25"/>
          <w:szCs w:val="25"/>
        </w:rPr>
        <w:t>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6454F4" w:rsidRPr="00E6379A" w:rsidP="006454F4">
      <w:pPr>
        <w:ind w:firstLine="720"/>
        <w:jc w:val="both"/>
        <w:rPr>
          <w:sz w:val="25"/>
          <w:szCs w:val="25"/>
        </w:rPr>
      </w:pPr>
      <w:r w:rsidRPr="00E6379A">
        <w:rPr>
          <w:sz w:val="25"/>
          <w:szCs w:val="25"/>
        </w:rPr>
        <w:t>В соответствии с п. 17 и 18 постановления Пленума Верховного Суда РФ</w:t>
      </w:r>
      <w:r w:rsidRPr="00E6379A">
        <w:rPr>
          <w:sz w:val="25"/>
          <w:szCs w:val="25"/>
        </w:rPr>
        <w:t xml:space="preserve">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w:t>
      </w:r>
      <w:r w:rsidRPr="00E6379A">
        <w:rPr>
          <w:sz w:val="25"/>
          <w:szCs w:val="25"/>
        </w:rPr>
        <w:t xml:space="preserve">ня подачи </w:t>
      </w:r>
      <w:r w:rsidRPr="00E6379A">
        <w:rPr>
          <w:sz w:val="25"/>
          <w:szCs w:val="25"/>
        </w:rPr>
        <w:t>заявления о вынесении судебного приказа либо обращения в третейский суд, если такое заявление было принято к производству.</w:t>
      </w:r>
    </w:p>
    <w:p w:rsidR="006454F4" w:rsidRPr="00E6379A" w:rsidP="006454F4">
      <w:pPr>
        <w:ind w:firstLine="720"/>
        <w:jc w:val="both"/>
        <w:rPr>
          <w:sz w:val="25"/>
          <w:szCs w:val="25"/>
        </w:rPr>
      </w:pPr>
      <w:r w:rsidRPr="00E6379A">
        <w:rPr>
          <w:sz w:val="25"/>
          <w:szCs w:val="25"/>
        </w:rPr>
        <w:t>В случае прекращения производства по делу по указанным выше основаниям, а также в случае отмены судебного приказа, если неи</w:t>
      </w:r>
      <w:r w:rsidRPr="00E6379A">
        <w:rPr>
          <w:sz w:val="25"/>
          <w:szCs w:val="25"/>
        </w:rPr>
        <w:t>стекшая часть срока исковой давности составляет менее шести месяцев, она удлиняется до шести месяцев (пункт 1 статьи 6, пункт 3 статьи 204 ГК РФ).</w:t>
      </w:r>
    </w:p>
    <w:p w:rsidR="006454F4" w:rsidRPr="00E6379A" w:rsidP="006454F4">
      <w:pPr>
        <w:ind w:firstLine="720"/>
        <w:jc w:val="both"/>
        <w:rPr>
          <w:sz w:val="25"/>
          <w:szCs w:val="25"/>
        </w:rPr>
      </w:pPr>
      <w:r w:rsidRPr="00E6379A">
        <w:rPr>
          <w:sz w:val="25"/>
          <w:szCs w:val="25"/>
        </w:rPr>
        <w:t>Из материалов гражданского дела №2-</w:t>
      </w:r>
      <w:r w:rsidRPr="00E6379A" w:rsidR="00137E4F">
        <w:rPr>
          <w:sz w:val="25"/>
          <w:szCs w:val="25"/>
        </w:rPr>
        <w:t>58-963/2023</w:t>
      </w:r>
      <w:r w:rsidRPr="00E6379A">
        <w:rPr>
          <w:sz w:val="25"/>
          <w:szCs w:val="25"/>
        </w:rPr>
        <w:t xml:space="preserve"> следует, что НО «Региональный фонд капитального ремонта многок</w:t>
      </w:r>
      <w:r w:rsidRPr="00E6379A">
        <w:rPr>
          <w:sz w:val="25"/>
          <w:szCs w:val="25"/>
        </w:rPr>
        <w:t xml:space="preserve">вартирных домов Республики Крым» </w:t>
      </w:r>
      <w:r w:rsidRPr="00E6379A" w:rsidR="00137E4F">
        <w:rPr>
          <w:sz w:val="25"/>
          <w:szCs w:val="25"/>
        </w:rPr>
        <w:t>06.11.2023</w:t>
      </w:r>
      <w:r w:rsidRPr="00E6379A">
        <w:rPr>
          <w:sz w:val="25"/>
          <w:szCs w:val="25"/>
        </w:rPr>
        <w:t xml:space="preserve"> направила мировому судье по почте заявление о выдаче судебного приказа на взыскание с </w:t>
      </w:r>
      <w:r w:rsidRPr="00E6379A" w:rsidR="00137E4F">
        <w:rPr>
          <w:sz w:val="25"/>
          <w:szCs w:val="25"/>
        </w:rPr>
        <w:t>Рябоконь Р.Ф.</w:t>
      </w:r>
      <w:r w:rsidRPr="00E6379A">
        <w:rPr>
          <w:sz w:val="25"/>
          <w:szCs w:val="25"/>
        </w:rPr>
        <w:t xml:space="preserve"> задолженности по оплате взносов на капитальный ремонт общего имущества многоквартирного жилого дома за период с </w:t>
      </w:r>
      <w:r w:rsidRPr="00E6379A" w:rsidR="00137E4F">
        <w:rPr>
          <w:sz w:val="25"/>
          <w:szCs w:val="25"/>
        </w:rPr>
        <w:t>октября</w:t>
      </w:r>
      <w:r w:rsidRPr="00E6379A">
        <w:rPr>
          <w:sz w:val="25"/>
          <w:szCs w:val="25"/>
        </w:rPr>
        <w:t xml:space="preserve"> 2016 по </w:t>
      </w:r>
      <w:r w:rsidRPr="00E6379A" w:rsidR="00137E4F">
        <w:rPr>
          <w:sz w:val="25"/>
          <w:szCs w:val="25"/>
        </w:rPr>
        <w:t>август</w:t>
      </w:r>
      <w:r w:rsidRPr="00E6379A">
        <w:rPr>
          <w:sz w:val="25"/>
          <w:szCs w:val="25"/>
        </w:rPr>
        <w:t xml:space="preserve"> 2023 г.</w:t>
      </w:r>
    </w:p>
    <w:p w:rsidR="006454F4" w:rsidRPr="00E6379A" w:rsidP="006454F4">
      <w:pPr>
        <w:ind w:firstLine="720"/>
        <w:jc w:val="both"/>
        <w:rPr>
          <w:sz w:val="25"/>
          <w:szCs w:val="25"/>
        </w:rPr>
      </w:pPr>
      <w:r w:rsidRPr="00E6379A">
        <w:rPr>
          <w:sz w:val="25"/>
          <w:szCs w:val="25"/>
        </w:rPr>
        <w:t xml:space="preserve">Судебный приказ, вынесенный </w:t>
      </w:r>
      <w:r w:rsidRPr="00E6379A" w:rsidR="00137E4F">
        <w:rPr>
          <w:sz w:val="25"/>
          <w:szCs w:val="25"/>
        </w:rPr>
        <w:t>23.11.2023</w:t>
      </w:r>
      <w:r w:rsidRPr="00E6379A">
        <w:rPr>
          <w:sz w:val="25"/>
          <w:szCs w:val="25"/>
        </w:rPr>
        <w:t xml:space="preserve"> по указанному выше заявлению, отменен определением от </w:t>
      </w:r>
      <w:r w:rsidRPr="00E6379A" w:rsidR="00137E4F">
        <w:rPr>
          <w:sz w:val="25"/>
          <w:szCs w:val="25"/>
        </w:rPr>
        <w:t>05.12.2023.</w:t>
      </w:r>
    </w:p>
    <w:p w:rsidR="006454F4" w:rsidRPr="00E6379A" w:rsidP="006454F4">
      <w:pPr>
        <w:ind w:firstLine="720"/>
        <w:jc w:val="both"/>
        <w:rPr>
          <w:sz w:val="25"/>
          <w:szCs w:val="25"/>
        </w:rPr>
      </w:pPr>
      <w:r w:rsidRPr="00E6379A">
        <w:rPr>
          <w:sz w:val="25"/>
          <w:szCs w:val="25"/>
        </w:rPr>
        <w:t>Настоящее исковое заявление НО «Региональный фонд капитального ремонта многоквартирных домов Республики Крым» направлено</w:t>
      </w:r>
      <w:r w:rsidRPr="00E6379A">
        <w:rPr>
          <w:sz w:val="25"/>
          <w:szCs w:val="25"/>
        </w:rPr>
        <w:t xml:space="preserve"> в суд по почте </w:t>
      </w:r>
      <w:r w:rsidRPr="00E6379A" w:rsidR="00137E4F">
        <w:rPr>
          <w:sz w:val="25"/>
          <w:szCs w:val="25"/>
        </w:rPr>
        <w:t>16.02.2024</w:t>
      </w:r>
      <w:r w:rsidRPr="00E6379A">
        <w:rPr>
          <w:sz w:val="25"/>
          <w:szCs w:val="25"/>
        </w:rPr>
        <w:t>, то есть в течение шестимесячного срока со дня отмены судебного приказа.</w:t>
      </w:r>
      <w:r w:rsidRPr="00E6379A" w:rsidR="00137E4F">
        <w:rPr>
          <w:sz w:val="25"/>
          <w:szCs w:val="25"/>
        </w:rPr>
        <w:t xml:space="preserve"> При этом настоящее исковое заявление содержит требования о взыскании задолженности, образовавшейся за период с октября 2020 года по декабрь 2023 года, увеличение истом размера исковых требований до принятия решения судом не изменяет наступивший в связи с предъявлением иска в установленном порядке момент, с которого исковая давность перестает течь. ( п.14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 </w:t>
      </w:r>
    </w:p>
    <w:p w:rsidR="006454F4" w:rsidRPr="00E6379A" w:rsidP="006454F4">
      <w:pPr>
        <w:ind w:firstLine="720"/>
        <w:jc w:val="both"/>
        <w:rPr>
          <w:sz w:val="25"/>
          <w:szCs w:val="25"/>
        </w:rPr>
      </w:pPr>
      <w:r w:rsidRPr="00E6379A">
        <w:rPr>
          <w:sz w:val="25"/>
          <w:szCs w:val="25"/>
        </w:rPr>
        <w:t>Взносы на капитальный ремонт начисляются ежемесячно и подлежат уплате не позднее 20 числа следующего месяца, следов</w:t>
      </w:r>
      <w:r w:rsidRPr="00E6379A">
        <w:rPr>
          <w:sz w:val="25"/>
          <w:szCs w:val="25"/>
        </w:rPr>
        <w:t xml:space="preserve">ательно, срок исковой давности исчисляется по каждому платежу отдельно, начиная с 21 числа </w:t>
      </w:r>
      <w:r w:rsidRPr="00E6379A" w:rsidR="00137E4F">
        <w:rPr>
          <w:sz w:val="25"/>
          <w:szCs w:val="25"/>
        </w:rPr>
        <w:t>месяца, следующего за расчётным.</w:t>
      </w:r>
    </w:p>
    <w:p w:rsidR="00137E4F" w:rsidRPr="00E6379A" w:rsidP="006454F4">
      <w:pPr>
        <w:ind w:firstLine="720"/>
        <w:jc w:val="both"/>
        <w:rPr>
          <w:sz w:val="25"/>
          <w:szCs w:val="25"/>
        </w:rPr>
      </w:pPr>
      <w:r w:rsidRPr="00E6379A">
        <w:rPr>
          <w:sz w:val="25"/>
          <w:szCs w:val="25"/>
        </w:rPr>
        <w:t>Таким образом</w:t>
      </w:r>
      <w:r w:rsidRPr="00E6379A" w:rsidR="007A2935">
        <w:rPr>
          <w:sz w:val="25"/>
          <w:szCs w:val="25"/>
        </w:rPr>
        <w:t>,</w:t>
      </w:r>
      <w:r w:rsidRPr="00E6379A">
        <w:rPr>
          <w:sz w:val="25"/>
          <w:szCs w:val="25"/>
        </w:rPr>
        <w:t xml:space="preserve"> срок исковой давности </w:t>
      </w:r>
      <w:r w:rsidRPr="00E6379A" w:rsidR="007A2935">
        <w:rPr>
          <w:sz w:val="25"/>
          <w:szCs w:val="25"/>
        </w:rPr>
        <w:t xml:space="preserve">по оплате взносов на капитальный ремонт начисленных в октябре 2020 года начинает течь с 21 ноября 2020 года, в связи с чем требования истца, с учетом обращения истца с заявлением о вынесении судебного приказа, заявлены в пределах срока исковой давности, суд не находит оснований  для применения срока исковой давности заявленной представителем ответчика.   </w:t>
      </w:r>
    </w:p>
    <w:p w:rsidR="005D4100" w:rsidRPr="00E6379A" w:rsidP="005D4100">
      <w:pPr>
        <w:ind w:firstLine="720"/>
        <w:jc w:val="both"/>
        <w:rPr>
          <w:sz w:val="25"/>
          <w:szCs w:val="25"/>
        </w:rPr>
      </w:pPr>
      <w:r w:rsidRPr="00E6379A">
        <w:rPr>
          <w:sz w:val="25"/>
          <w:szCs w:val="25"/>
        </w:rPr>
        <w:t>Проверив расчет ежемесячных</w:t>
      </w:r>
      <w:r w:rsidRPr="00E6379A" w:rsidR="00131818">
        <w:rPr>
          <w:sz w:val="25"/>
          <w:szCs w:val="25"/>
        </w:rPr>
        <w:t xml:space="preserve"> </w:t>
      </w:r>
      <w:r w:rsidRPr="00E6379A">
        <w:rPr>
          <w:sz w:val="25"/>
          <w:szCs w:val="25"/>
        </w:rPr>
        <w:t xml:space="preserve"> начислений, суд приходит к выводу о том, что он произведен исходя из установленных минимальных размеров ежемесячных взносов на капитальный ремонт за один квадратный метр общей площади нежилого помещения, принадлежащего </w:t>
      </w:r>
      <w:r w:rsidRPr="00E6379A">
        <w:rPr>
          <w:sz w:val="25"/>
          <w:szCs w:val="25"/>
        </w:rPr>
        <w:t>ответчику, является арифметически верным, при этом произведя расчет в пределах нахождения у ответчика в собственности нежилого помещения</w:t>
      </w:r>
      <w:r w:rsidR="00E6379A">
        <w:rPr>
          <w:sz w:val="25"/>
          <w:szCs w:val="25"/>
        </w:rPr>
        <w:t>,</w:t>
      </w:r>
      <w:r w:rsidRPr="00E6379A">
        <w:rPr>
          <w:sz w:val="25"/>
          <w:szCs w:val="25"/>
        </w:rPr>
        <w:t xml:space="preserve">  суд приходит к выводу, что с ответчика подлежит  взысканию сумма задолженности в размере 23 158 руб.  59 коп. </w:t>
      </w:r>
    </w:p>
    <w:p w:rsidR="005D4100" w:rsidRPr="00E6379A" w:rsidP="005D4100">
      <w:pPr>
        <w:ind w:firstLine="720"/>
        <w:jc w:val="both"/>
        <w:rPr>
          <w:sz w:val="25"/>
          <w:szCs w:val="25"/>
        </w:rPr>
      </w:pPr>
      <w:r w:rsidRPr="00E6379A">
        <w:rPr>
          <w:sz w:val="25"/>
          <w:szCs w:val="25"/>
        </w:rPr>
        <w:t>Так, з</w:t>
      </w:r>
      <w:r w:rsidRPr="00E6379A">
        <w:rPr>
          <w:sz w:val="25"/>
          <w:szCs w:val="25"/>
        </w:rPr>
        <w:t xml:space="preserve">а период с октября по декабрь 2020 г. задолженность составляет 1718,64 руб. (6,16 руб. *93 кв.м.* 3 мес.) </w:t>
      </w:r>
    </w:p>
    <w:p w:rsidR="005D4100" w:rsidRPr="00E6379A" w:rsidP="005D4100">
      <w:pPr>
        <w:ind w:firstLine="720"/>
        <w:jc w:val="both"/>
        <w:rPr>
          <w:sz w:val="25"/>
          <w:szCs w:val="25"/>
        </w:rPr>
      </w:pPr>
      <w:r w:rsidRPr="00E6379A">
        <w:rPr>
          <w:sz w:val="25"/>
          <w:szCs w:val="25"/>
        </w:rPr>
        <w:t>За период с января по декабрь 2021 г. – 7254,00 руб. (6,50 руб.* 93 кв.м.* 12 мес.)</w:t>
      </w:r>
    </w:p>
    <w:p w:rsidR="005D4100" w:rsidRPr="00E6379A" w:rsidP="005D4100">
      <w:pPr>
        <w:ind w:firstLine="720"/>
        <w:jc w:val="both"/>
        <w:rPr>
          <w:sz w:val="25"/>
          <w:szCs w:val="25"/>
        </w:rPr>
      </w:pPr>
      <w:r w:rsidRPr="00E6379A">
        <w:rPr>
          <w:sz w:val="25"/>
          <w:szCs w:val="25"/>
        </w:rPr>
        <w:t xml:space="preserve">За период с января по декабрь 2022 г. – 7588,80 руб. (6,80 руб.* </w:t>
      </w:r>
      <w:r w:rsidRPr="00E6379A">
        <w:rPr>
          <w:sz w:val="25"/>
          <w:szCs w:val="25"/>
        </w:rPr>
        <w:t>93 кв.м.* 12 мес.)</w:t>
      </w:r>
    </w:p>
    <w:p w:rsidR="005D4100" w:rsidRPr="00E6379A" w:rsidP="005D4100">
      <w:pPr>
        <w:ind w:firstLine="720"/>
        <w:jc w:val="both"/>
        <w:rPr>
          <w:sz w:val="25"/>
          <w:szCs w:val="25"/>
        </w:rPr>
      </w:pPr>
      <w:r w:rsidRPr="00E6379A">
        <w:rPr>
          <w:sz w:val="25"/>
          <w:szCs w:val="25"/>
        </w:rPr>
        <w:t>За период с января по сентябрь 2023 г. – 6034,77 руб. (7,21 руб.* 93 кв.м.* 9 мес.)</w:t>
      </w:r>
    </w:p>
    <w:p w:rsidR="005D4100" w:rsidRPr="00E6379A" w:rsidP="005D4100">
      <w:pPr>
        <w:ind w:firstLine="720"/>
        <w:jc w:val="both"/>
        <w:rPr>
          <w:sz w:val="25"/>
          <w:szCs w:val="25"/>
        </w:rPr>
      </w:pPr>
      <w:r w:rsidRPr="00E6379A">
        <w:rPr>
          <w:sz w:val="25"/>
          <w:szCs w:val="25"/>
        </w:rPr>
        <w:t>За период  с 01.10.2023 по 26.10.2023 г. -  5</w:t>
      </w:r>
      <w:r w:rsidRPr="00E6379A" w:rsidR="004162CB">
        <w:rPr>
          <w:sz w:val="25"/>
          <w:szCs w:val="25"/>
        </w:rPr>
        <w:t>62,38</w:t>
      </w:r>
      <w:r w:rsidRPr="00E6379A">
        <w:rPr>
          <w:sz w:val="25"/>
          <w:szCs w:val="25"/>
        </w:rPr>
        <w:t xml:space="preserve"> руб.  ( 7,21* 93 кв.м =670,53 руб.*100:31*26)</w:t>
      </w:r>
    </w:p>
    <w:p w:rsidR="006454F4" w:rsidRPr="00E6379A" w:rsidP="006454F4">
      <w:pPr>
        <w:ind w:firstLine="720"/>
        <w:jc w:val="both"/>
        <w:rPr>
          <w:sz w:val="25"/>
          <w:szCs w:val="25"/>
        </w:rPr>
      </w:pPr>
      <w:r w:rsidRPr="00E6379A">
        <w:rPr>
          <w:sz w:val="25"/>
          <w:szCs w:val="25"/>
        </w:rPr>
        <w:t>Итого задолженность</w:t>
      </w:r>
      <w:r w:rsidRPr="00E6379A" w:rsidR="005D4100">
        <w:rPr>
          <w:sz w:val="25"/>
          <w:szCs w:val="25"/>
        </w:rPr>
        <w:t>, образовавшееся за период с октября 2020 года по 26 октября 2023 года</w:t>
      </w:r>
      <w:r w:rsidRPr="00E6379A">
        <w:rPr>
          <w:sz w:val="25"/>
          <w:szCs w:val="25"/>
        </w:rPr>
        <w:t xml:space="preserve"> составляет </w:t>
      </w:r>
      <w:r w:rsidRPr="00E6379A" w:rsidR="005D4100">
        <w:rPr>
          <w:sz w:val="25"/>
          <w:szCs w:val="25"/>
        </w:rPr>
        <w:t xml:space="preserve">23 158 руб. 59 коп. </w:t>
      </w:r>
      <w:r w:rsidRPr="00E6379A">
        <w:rPr>
          <w:sz w:val="25"/>
          <w:szCs w:val="25"/>
        </w:rPr>
        <w:t xml:space="preserve"> </w:t>
      </w:r>
    </w:p>
    <w:p w:rsidR="006454F4" w:rsidRPr="00E6379A" w:rsidP="006454F4">
      <w:pPr>
        <w:ind w:firstLine="720"/>
        <w:jc w:val="both"/>
        <w:rPr>
          <w:sz w:val="25"/>
          <w:szCs w:val="25"/>
        </w:rPr>
      </w:pPr>
      <w:r w:rsidRPr="00E6379A">
        <w:rPr>
          <w:sz w:val="25"/>
          <w:szCs w:val="25"/>
        </w:rPr>
        <w:t xml:space="preserve">Согласно расчету пени на день вынесения решения, произведенному с учетом мораториев, введенных Постановлениями Правительства РФ от 02.04.2020 № 424, от 26.03.2022 №474, от 28.03.2022 №497, </w:t>
      </w:r>
      <w:r w:rsidRPr="00E6379A">
        <w:rPr>
          <w:sz w:val="25"/>
          <w:szCs w:val="25"/>
        </w:rPr>
        <w:t xml:space="preserve">ее размер составляет </w:t>
      </w:r>
      <w:r w:rsidRPr="00E6379A" w:rsidR="00C02FE0">
        <w:rPr>
          <w:sz w:val="25"/>
          <w:szCs w:val="25"/>
        </w:rPr>
        <w:t>3</w:t>
      </w:r>
      <w:r w:rsidRPr="00E6379A" w:rsidR="000B00E7">
        <w:rPr>
          <w:sz w:val="25"/>
          <w:szCs w:val="25"/>
        </w:rPr>
        <w:t xml:space="preserve"> </w:t>
      </w:r>
      <w:r w:rsidRPr="00E6379A" w:rsidR="00C02FE0">
        <w:rPr>
          <w:sz w:val="25"/>
          <w:szCs w:val="25"/>
        </w:rPr>
        <w:t>899,77</w:t>
      </w:r>
      <w:r w:rsidRPr="00E6379A">
        <w:rPr>
          <w:sz w:val="25"/>
          <w:szCs w:val="25"/>
        </w:rPr>
        <w:t xml:space="preserve"> руб.</w:t>
      </w:r>
    </w:p>
    <w:p w:rsidR="006454F4" w:rsidRPr="00E6379A" w:rsidP="006454F4">
      <w:pPr>
        <w:ind w:firstLine="720"/>
        <w:jc w:val="both"/>
        <w:rPr>
          <w:sz w:val="25"/>
          <w:szCs w:val="25"/>
        </w:rPr>
      </w:pPr>
    </w:p>
    <w:tbl>
      <w:tblPr>
        <w:tblStyle w:val="TableGrid"/>
        <w:tblW w:w="0" w:type="auto"/>
        <w:tblLook w:val="04A0"/>
      </w:tblPr>
      <w:tblGrid>
        <w:gridCol w:w="2084"/>
        <w:gridCol w:w="2084"/>
        <w:gridCol w:w="2084"/>
        <w:gridCol w:w="2085"/>
      </w:tblGrid>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Платеж за месяц</w:t>
            </w:r>
          </w:p>
        </w:tc>
        <w:tc>
          <w:tcPr>
            <w:tcW w:w="2084" w:type="dxa"/>
          </w:tcPr>
          <w:p w:rsidR="00EE564C" w:rsidRPr="00E6379A" w:rsidP="00B8268B">
            <w:pPr>
              <w:jc w:val="center"/>
              <w:rPr>
                <w:sz w:val="25"/>
                <w:szCs w:val="25"/>
              </w:rPr>
            </w:pPr>
            <w:r w:rsidRPr="00E6379A">
              <w:rPr>
                <w:sz w:val="25"/>
                <w:szCs w:val="25"/>
              </w:rPr>
              <w:t>2021</w:t>
            </w:r>
          </w:p>
        </w:tc>
        <w:tc>
          <w:tcPr>
            <w:tcW w:w="2084" w:type="dxa"/>
          </w:tcPr>
          <w:p w:rsidR="00EE564C" w:rsidRPr="00E6379A" w:rsidP="00B8268B">
            <w:pPr>
              <w:jc w:val="center"/>
              <w:rPr>
                <w:sz w:val="25"/>
                <w:szCs w:val="25"/>
              </w:rPr>
            </w:pPr>
            <w:r w:rsidRPr="00E6379A">
              <w:rPr>
                <w:sz w:val="25"/>
                <w:szCs w:val="25"/>
              </w:rPr>
              <w:t>2022</w:t>
            </w:r>
          </w:p>
        </w:tc>
        <w:tc>
          <w:tcPr>
            <w:tcW w:w="2085" w:type="dxa"/>
          </w:tcPr>
          <w:p w:rsidR="00EE564C" w:rsidRPr="00E6379A" w:rsidP="00B8268B">
            <w:pPr>
              <w:jc w:val="center"/>
              <w:rPr>
                <w:sz w:val="25"/>
                <w:szCs w:val="25"/>
              </w:rPr>
            </w:pPr>
            <w:r w:rsidRPr="00E6379A">
              <w:rPr>
                <w:sz w:val="25"/>
                <w:szCs w:val="25"/>
              </w:rPr>
              <w:t>2023</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январь</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670,19 </w:t>
            </w:r>
            <w:r w:rsidRPr="00E6379A">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109.34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77.29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февраль</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169,03 </w:t>
            </w:r>
            <w:r w:rsidRPr="00E6379A">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71.34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март</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163,09 </w:t>
            </w:r>
            <w:r w:rsidRPr="00E6379A">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руб. </w:t>
            </w:r>
            <w:r w:rsidRPr="00E6379A">
              <w:rPr>
                <w:sz w:val="25"/>
                <w:szCs w:val="25"/>
              </w:rPr>
              <w:t>.</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64.76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апрель</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157,35 </w:t>
            </w:r>
            <w:r w:rsidRPr="00E6379A">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руб. </w:t>
            </w:r>
            <w:r w:rsidRPr="00E6379A">
              <w:rPr>
                <w:sz w:val="25"/>
                <w:szCs w:val="25"/>
              </w:rPr>
              <w:t>.</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58.39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май</w:t>
            </w:r>
          </w:p>
        </w:tc>
        <w:tc>
          <w:tcPr>
            <w:tcW w:w="2084" w:type="dxa"/>
          </w:tcPr>
          <w:p w:rsidR="00EE564C" w:rsidRPr="00E6379A" w:rsidP="00154ACB">
            <w:pPr>
              <w:jc w:val="center"/>
              <w:rPr>
                <w:sz w:val="25"/>
                <w:szCs w:val="25"/>
              </w:rPr>
            </w:pPr>
            <w:r>
              <w:rPr>
                <w:sz w:val="25"/>
                <w:szCs w:val="25"/>
              </w:rPr>
              <w:t xml:space="preserve">151,42 </w:t>
            </w:r>
            <w:r>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51.81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июнь</w:t>
            </w:r>
          </w:p>
        </w:tc>
        <w:tc>
          <w:tcPr>
            <w:tcW w:w="2084" w:type="dxa"/>
          </w:tcPr>
          <w:p w:rsidR="00EE564C" w:rsidRPr="00E6379A" w:rsidP="00B8268B">
            <w:pPr>
              <w:jc w:val="center"/>
              <w:rPr>
                <w:sz w:val="25"/>
                <w:szCs w:val="25"/>
              </w:rPr>
            </w:pPr>
            <w:r>
              <w:rPr>
                <w:sz w:val="25"/>
                <w:szCs w:val="25"/>
              </w:rPr>
              <w:t>145,67 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45,44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июль</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139.74 </w:t>
            </w:r>
            <w:r w:rsidRPr="00E6379A">
              <w:rPr>
                <w:sz w:val="25"/>
                <w:szCs w:val="25"/>
              </w:rPr>
              <w:t>руб.</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107.34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38.86 </w:t>
            </w:r>
            <w:r w:rsidRPr="00E6379A">
              <w:rPr>
                <w:sz w:val="25"/>
                <w:szCs w:val="25"/>
              </w:rPr>
              <w:t>руб.</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август</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133,81 руб. </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103.53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32.27 руб. </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сентябрь</w:t>
            </w:r>
          </w:p>
        </w:tc>
        <w:tc>
          <w:tcPr>
            <w:tcW w:w="2084" w:type="dxa"/>
          </w:tcPr>
          <w:p w:rsidR="00EE564C" w:rsidRPr="00E6379A" w:rsidP="00B8268B">
            <w:pPr>
              <w:jc w:val="center"/>
              <w:rPr>
                <w:sz w:val="25"/>
                <w:szCs w:val="25"/>
              </w:rPr>
            </w:pPr>
            <w:r>
              <w:rPr>
                <w:sz w:val="25"/>
                <w:szCs w:val="25"/>
              </w:rPr>
              <w:t>128,06 руб.</w:t>
            </w:r>
          </w:p>
        </w:tc>
        <w:tc>
          <w:tcPr>
            <w:tcW w:w="2084" w:type="dxa"/>
          </w:tcPr>
          <w:p w:rsidR="00EE564C" w:rsidRPr="00E6379A" w:rsidP="00B8268B">
            <w:pPr>
              <w:jc w:val="center"/>
              <w:rPr>
                <w:sz w:val="25"/>
                <w:szCs w:val="25"/>
              </w:rPr>
            </w:pPr>
            <w:r w:rsidRPr="00E6379A">
              <w:rPr>
                <w:color w:val="333333"/>
                <w:sz w:val="25"/>
                <w:szCs w:val="25"/>
                <w:shd w:val="clear" w:color="auto" w:fill="FFFFFF"/>
              </w:rPr>
              <w:t>97.53</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25.90 руб. </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октябрь</w:t>
            </w:r>
          </w:p>
        </w:tc>
        <w:tc>
          <w:tcPr>
            <w:tcW w:w="2084" w:type="dxa"/>
          </w:tcPr>
          <w:p w:rsidR="00EE564C" w:rsidRPr="00E6379A" w:rsidP="00B8268B">
            <w:pPr>
              <w:jc w:val="center"/>
              <w:rPr>
                <w:sz w:val="25"/>
                <w:szCs w:val="25"/>
              </w:rPr>
            </w:pPr>
            <w:r>
              <w:rPr>
                <w:sz w:val="25"/>
                <w:szCs w:val="25"/>
              </w:rPr>
              <w:t>122,13 руб.</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91.32 </w:t>
            </w:r>
            <w:r w:rsidRPr="00E6379A">
              <w:rPr>
                <w:sz w:val="25"/>
                <w:szCs w:val="25"/>
              </w:rPr>
              <w:t>руб.</w:t>
            </w:r>
          </w:p>
        </w:tc>
        <w:tc>
          <w:tcPr>
            <w:tcW w:w="2085" w:type="dxa"/>
          </w:tcPr>
          <w:p w:rsidR="00EE564C" w:rsidRPr="00E6379A" w:rsidP="00B8268B">
            <w:pPr>
              <w:jc w:val="center"/>
              <w:rPr>
                <w:sz w:val="25"/>
                <w:szCs w:val="25"/>
              </w:rPr>
            </w:pPr>
            <w:r w:rsidRPr="00E6379A">
              <w:rPr>
                <w:color w:val="333333"/>
                <w:sz w:val="25"/>
                <w:szCs w:val="25"/>
                <w:shd w:val="clear" w:color="auto" w:fill="FFFFFF"/>
              </w:rPr>
              <w:t xml:space="preserve">16.21 руб. </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ноябрь</w:t>
            </w:r>
          </w:p>
        </w:tc>
        <w:tc>
          <w:tcPr>
            <w:tcW w:w="2084" w:type="dxa"/>
          </w:tcPr>
          <w:p w:rsidR="00EE564C" w:rsidRPr="00E6379A" w:rsidP="00154ACB">
            <w:pPr>
              <w:jc w:val="center"/>
              <w:rPr>
                <w:sz w:val="25"/>
                <w:szCs w:val="25"/>
              </w:rPr>
            </w:pPr>
            <w:r w:rsidRPr="00E6379A">
              <w:rPr>
                <w:color w:val="333333"/>
                <w:sz w:val="25"/>
                <w:szCs w:val="25"/>
                <w:shd w:val="clear" w:color="auto" w:fill="FFFFFF"/>
              </w:rPr>
              <w:t xml:space="preserve">116.39 </w:t>
            </w:r>
            <w:r w:rsidRPr="00E6379A">
              <w:rPr>
                <w:sz w:val="25"/>
                <w:szCs w:val="25"/>
              </w:rPr>
              <w:t>руб.</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85.31 </w:t>
            </w:r>
            <w:r w:rsidRPr="00E6379A">
              <w:rPr>
                <w:sz w:val="25"/>
                <w:szCs w:val="25"/>
              </w:rPr>
              <w:t>руб.</w:t>
            </w:r>
          </w:p>
        </w:tc>
        <w:tc>
          <w:tcPr>
            <w:tcW w:w="2085" w:type="dxa"/>
          </w:tcPr>
          <w:p w:rsidR="00EE564C" w:rsidRPr="00E6379A" w:rsidP="00B8268B">
            <w:pPr>
              <w:jc w:val="center"/>
              <w:rPr>
                <w:sz w:val="25"/>
                <w:szCs w:val="25"/>
              </w:rPr>
            </w:pPr>
            <w:r w:rsidRPr="00E6379A">
              <w:rPr>
                <w:sz w:val="25"/>
                <w:szCs w:val="25"/>
              </w:rPr>
              <w:t>-</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декабрь</w:t>
            </w:r>
          </w:p>
        </w:tc>
        <w:tc>
          <w:tcPr>
            <w:tcW w:w="2084" w:type="dxa"/>
          </w:tcPr>
          <w:p w:rsidR="00EE564C" w:rsidRPr="00E6379A" w:rsidP="00154ACB">
            <w:pPr>
              <w:jc w:val="center"/>
              <w:rPr>
                <w:sz w:val="25"/>
                <w:szCs w:val="25"/>
              </w:rPr>
            </w:pPr>
            <w:r>
              <w:rPr>
                <w:sz w:val="25"/>
                <w:szCs w:val="25"/>
              </w:rPr>
              <w:t>110,45 руб.</w:t>
            </w:r>
          </w:p>
        </w:tc>
        <w:tc>
          <w:tcPr>
            <w:tcW w:w="2084" w:type="dxa"/>
          </w:tcPr>
          <w:p w:rsidR="00EE564C" w:rsidRPr="00E6379A" w:rsidP="00B8268B">
            <w:pPr>
              <w:jc w:val="center"/>
              <w:rPr>
                <w:sz w:val="25"/>
                <w:szCs w:val="25"/>
              </w:rPr>
            </w:pPr>
            <w:r w:rsidRPr="00E6379A">
              <w:rPr>
                <w:color w:val="333333"/>
                <w:sz w:val="25"/>
                <w:szCs w:val="25"/>
                <w:shd w:val="clear" w:color="auto" w:fill="FFFFFF"/>
              </w:rPr>
              <w:t xml:space="preserve">79.10 </w:t>
            </w:r>
            <w:r w:rsidRPr="00E6379A">
              <w:rPr>
                <w:sz w:val="25"/>
                <w:szCs w:val="25"/>
              </w:rPr>
              <w:t>руб.</w:t>
            </w:r>
          </w:p>
        </w:tc>
        <w:tc>
          <w:tcPr>
            <w:tcW w:w="2085" w:type="dxa"/>
          </w:tcPr>
          <w:p w:rsidR="00EE564C" w:rsidRPr="00E6379A" w:rsidP="00B8268B">
            <w:pPr>
              <w:jc w:val="center"/>
              <w:rPr>
                <w:sz w:val="25"/>
                <w:szCs w:val="25"/>
              </w:rPr>
            </w:pPr>
            <w:r w:rsidRPr="00E6379A">
              <w:rPr>
                <w:sz w:val="25"/>
                <w:szCs w:val="25"/>
              </w:rPr>
              <w:t>-</w:t>
            </w:r>
          </w:p>
        </w:tc>
      </w:tr>
      <w:tr w:rsidTr="00B8268B">
        <w:tblPrEx>
          <w:tblW w:w="0" w:type="auto"/>
          <w:tblLook w:val="04A0"/>
        </w:tblPrEx>
        <w:tc>
          <w:tcPr>
            <w:tcW w:w="2084" w:type="dxa"/>
          </w:tcPr>
          <w:p w:rsidR="00EE564C" w:rsidRPr="00E6379A" w:rsidP="00B8268B">
            <w:pPr>
              <w:jc w:val="center"/>
              <w:rPr>
                <w:sz w:val="25"/>
                <w:szCs w:val="25"/>
              </w:rPr>
            </w:pPr>
            <w:r w:rsidRPr="00E6379A">
              <w:rPr>
                <w:sz w:val="25"/>
                <w:szCs w:val="25"/>
              </w:rPr>
              <w:t>Итого</w:t>
            </w:r>
          </w:p>
        </w:tc>
        <w:tc>
          <w:tcPr>
            <w:tcW w:w="2084" w:type="dxa"/>
          </w:tcPr>
          <w:p w:rsidR="00EE564C" w:rsidRPr="00E6379A" w:rsidP="00B74FF0">
            <w:pPr>
              <w:jc w:val="center"/>
              <w:rPr>
                <w:sz w:val="25"/>
                <w:szCs w:val="25"/>
              </w:rPr>
            </w:pPr>
            <w:r w:rsidRPr="00E6379A">
              <w:rPr>
                <w:sz w:val="25"/>
                <w:szCs w:val="25"/>
              </w:rPr>
              <w:t xml:space="preserve"> </w:t>
            </w:r>
            <w:r w:rsidRPr="00E6379A" w:rsidR="00B74FF0">
              <w:rPr>
                <w:sz w:val="25"/>
                <w:szCs w:val="25"/>
              </w:rPr>
              <w:t>2207,33</w:t>
            </w:r>
            <w:r w:rsidRPr="00E6379A">
              <w:rPr>
                <w:sz w:val="25"/>
                <w:szCs w:val="25"/>
              </w:rPr>
              <w:t xml:space="preserve"> руб.</w:t>
            </w:r>
          </w:p>
        </w:tc>
        <w:tc>
          <w:tcPr>
            <w:tcW w:w="2084" w:type="dxa"/>
          </w:tcPr>
          <w:p w:rsidR="00EE564C" w:rsidRPr="00E6379A" w:rsidP="00B8268B">
            <w:pPr>
              <w:jc w:val="center"/>
              <w:rPr>
                <w:sz w:val="25"/>
                <w:szCs w:val="25"/>
              </w:rPr>
            </w:pPr>
            <w:r w:rsidRPr="00E6379A">
              <w:rPr>
                <w:sz w:val="25"/>
                <w:szCs w:val="25"/>
              </w:rPr>
              <w:t>1210,17</w:t>
            </w:r>
            <w:r w:rsidRPr="00E6379A" w:rsidR="00385575">
              <w:rPr>
                <w:sz w:val="25"/>
                <w:szCs w:val="25"/>
              </w:rPr>
              <w:t xml:space="preserve"> </w:t>
            </w:r>
            <w:r w:rsidRPr="00E6379A">
              <w:rPr>
                <w:sz w:val="25"/>
                <w:szCs w:val="25"/>
              </w:rPr>
              <w:t xml:space="preserve"> руб.</w:t>
            </w:r>
          </w:p>
        </w:tc>
        <w:tc>
          <w:tcPr>
            <w:tcW w:w="2085" w:type="dxa"/>
          </w:tcPr>
          <w:p w:rsidR="00EE564C" w:rsidRPr="00E6379A" w:rsidP="00B8268B">
            <w:pPr>
              <w:jc w:val="center"/>
              <w:rPr>
                <w:sz w:val="25"/>
                <w:szCs w:val="25"/>
              </w:rPr>
            </w:pPr>
            <w:r w:rsidRPr="00E6379A">
              <w:rPr>
                <w:sz w:val="25"/>
                <w:szCs w:val="25"/>
              </w:rPr>
              <w:t>482,27 руб.</w:t>
            </w:r>
          </w:p>
        </w:tc>
      </w:tr>
    </w:tbl>
    <w:p w:rsidR="006454F4" w:rsidRPr="00E6379A" w:rsidP="006454F4">
      <w:pPr>
        <w:jc w:val="both"/>
        <w:rPr>
          <w:sz w:val="25"/>
          <w:szCs w:val="25"/>
        </w:rPr>
      </w:pPr>
      <w:r w:rsidRPr="00E6379A">
        <w:rPr>
          <w:sz w:val="25"/>
          <w:szCs w:val="25"/>
        </w:rPr>
        <w:t xml:space="preserve">2207,33 руб.+1210,17 руб.+482,27 руб. = </w:t>
      </w:r>
      <w:r w:rsidR="00E6379A">
        <w:rPr>
          <w:sz w:val="25"/>
          <w:szCs w:val="25"/>
        </w:rPr>
        <w:t>3899,77</w:t>
      </w:r>
      <w:r w:rsidRPr="00E6379A">
        <w:rPr>
          <w:sz w:val="25"/>
          <w:szCs w:val="25"/>
        </w:rPr>
        <w:t xml:space="preserve"> руб.</w:t>
      </w:r>
    </w:p>
    <w:p w:rsidR="006454F4" w:rsidRPr="00E6379A" w:rsidP="006454F4">
      <w:pPr>
        <w:ind w:firstLine="720"/>
        <w:jc w:val="both"/>
        <w:rPr>
          <w:sz w:val="25"/>
          <w:szCs w:val="25"/>
        </w:rPr>
      </w:pPr>
      <w:r w:rsidRPr="00E6379A">
        <w:rPr>
          <w:sz w:val="25"/>
          <w:szCs w:val="25"/>
        </w:rPr>
        <w:t>Основания освобождения ответчика от погашения вышеуказанных сумм задолженности отсутствуют, поскольку доказательств того, что задолженность по оплате взносов на капитальный ремонт общего имущества многоквартирного дома и пени погашена, суду не представлено</w:t>
      </w:r>
      <w:r w:rsidRPr="00E6379A">
        <w:rPr>
          <w:sz w:val="25"/>
          <w:szCs w:val="25"/>
        </w:rPr>
        <w:t>, в связи с чем исковые требования под</w:t>
      </w:r>
      <w:r w:rsidRPr="00E6379A" w:rsidR="00691437">
        <w:rPr>
          <w:sz w:val="25"/>
          <w:szCs w:val="25"/>
        </w:rPr>
        <w:t xml:space="preserve">лежат частичному удовлетворению в пределах нахождения имущества в собственности ответчика. </w:t>
      </w:r>
    </w:p>
    <w:p w:rsidR="00C02FE0" w:rsidRPr="00E6379A" w:rsidP="00691437">
      <w:pPr>
        <w:ind w:firstLine="720"/>
        <w:jc w:val="both"/>
        <w:rPr>
          <w:sz w:val="25"/>
          <w:szCs w:val="25"/>
        </w:rPr>
      </w:pPr>
      <w:r w:rsidRPr="00E6379A">
        <w:rPr>
          <w:sz w:val="25"/>
          <w:szCs w:val="25"/>
        </w:rPr>
        <w:t>Вместе с тем, заявленные истцом требования о взыскании с ответчика задолженности, образовавшейся за период с 27.10.2023 по 31.</w:t>
      </w:r>
      <w:r w:rsidRPr="00E6379A">
        <w:rPr>
          <w:sz w:val="25"/>
          <w:szCs w:val="25"/>
        </w:rPr>
        <w:t xml:space="preserve">12.2023 суд находит не подлежащими удовлетворению, поскольку с 27.10.2023 указанное помещение в собственности ответчика не </w:t>
      </w:r>
      <w:r w:rsidRPr="00E6379A" w:rsidR="000B00E7">
        <w:rPr>
          <w:sz w:val="25"/>
          <w:szCs w:val="25"/>
        </w:rPr>
        <w:t>находится</w:t>
      </w:r>
      <w:r w:rsidRPr="00E6379A">
        <w:rPr>
          <w:sz w:val="25"/>
          <w:szCs w:val="25"/>
        </w:rPr>
        <w:t xml:space="preserve">, 27.10.2023 зарегистрировано  право собственности на нежилое помещение, расположенное по адресу: </w:t>
      </w:r>
      <w:r w:rsidR="00B63106">
        <w:rPr>
          <w:sz w:val="25"/>
          <w:szCs w:val="25"/>
        </w:rPr>
        <w:t>адрес</w:t>
      </w:r>
      <w:r w:rsidRPr="00E6379A">
        <w:rPr>
          <w:sz w:val="25"/>
          <w:szCs w:val="25"/>
        </w:rPr>
        <w:t xml:space="preserve"> за  </w:t>
      </w:r>
      <w:r w:rsidR="00B63106">
        <w:rPr>
          <w:sz w:val="25"/>
          <w:szCs w:val="25"/>
        </w:rPr>
        <w:t>ФИО, дата</w:t>
      </w:r>
      <w:r w:rsidRPr="00E6379A">
        <w:rPr>
          <w:sz w:val="25"/>
          <w:szCs w:val="25"/>
        </w:rPr>
        <w:t xml:space="preserve"> года рождения. </w:t>
      </w:r>
    </w:p>
    <w:p w:rsidR="006454F4" w:rsidRPr="00E6379A" w:rsidP="006454F4">
      <w:pPr>
        <w:ind w:firstLine="720"/>
        <w:jc w:val="both"/>
        <w:rPr>
          <w:sz w:val="25"/>
          <w:szCs w:val="25"/>
        </w:rPr>
      </w:pPr>
      <w:r w:rsidRPr="00E6379A">
        <w:rPr>
          <w:sz w:val="25"/>
          <w:szCs w:val="25"/>
        </w:rPr>
        <w:t>Как разъяснено в п. 65 постановления Пленума Верховного Суда РФ от 24.03.2016 № 7 «О применении судами некоторых положений Гражданского кодекса Российско</w:t>
      </w:r>
      <w:r w:rsidRPr="00E6379A">
        <w:rPr>
          <w:sz w:val="25"/>
          <w:szCs w:val="25"/>
        </w:rPr>
        <w:t xml:space="preserve">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w:t>
      </w:r>
      <w:r w:rsidRPr="00E6379A">
        <w:rPr>
          <w:sz w:val="25"/>
          <w:szCs w:val="25"/>
        </w:rPr>
        <w:t>завершения работ).</w:t>
      </w:r>
    </w:p>
    <w:p w:rsidR="006454F4" w:rsidRPr="00E6379A" w:rsidP="006454F4">
      <w:pPr>
        <w:ind w:firstLine="720"/>
        <w:jc w:val="both"/>
        <w:rPr>
          <w:sz w:val="25"/>
          <w:szCs w:val="25"/>
        </w:rPr>
      </w:pPr>
      <w:r w:rsidRPr="00E6379A">
        <w:rPr>
          <w:sz w:val="25"/>
          <w:szCs w:val="25"/>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w:t>
      </w:r>
      <w:r w:rsidRPr="00E6379A">
        <w:rPr>
          <w:sz w:val="25"/>
          <w:szCs w:val="25"/>
        </w:rPr>
        <w:t>нения обязательства.</w:t>
      </w:r>
    </w:p>
    <w:p w:rsidR="006454F4" w:rsidRPr="00E6379A" w:rsidP="006454F4">
      <w:pPr>
        <w:ind w:firstLine="720"/>
        <w:jc w:val="both"/>
        <w:rPr>
          <w:sz w:val="25"/>
          <w:szCs w:val="25"/>
        </w:rPr>
      </w:pPr>
      <w:r w:rsidRPr="00E6379A">
        <w:rPr>
          <w:sz w:val="25"/>
          <w:szCs w:val="25"/>
        </w:rPr>
        <w:t>Требование истца о взыскании суммы пени по день фактического исполнения обязательства подлежит удовлетворению.</w:t>
      </w:r>
    </w:p>
    <w:p w:rsidR="006454F4" w:rsidRPr="00E6379A" w:rsidP="006454F4">
      <w:pPr>
        <w:ind w:firstLine="720"/>
        <w:jc w:val="both"/>
        <w:rPr>
          <w:sz w:val="25"/>
          <w:szCs w:val="25"/>
        </w:rPr>
      </w:pPr>
      <w:r w:rsidRPr="00E6379A">
        <w:rPr>
          <w:sz w:val="25"/>
          <w:szCs w:val="25"/>
        </w:rPr>
        <w:t>В соответствии с ч.1 ст. 98 ГПК РФ стороне, в пользу которой состоялось решение суда, суд присуждает возместить с другой сто</w:t>
      </w:r>
      <w:r w:rsidRPr="00E6379A">
        <w:rPr>
          <w:sz w:val="25"/>
          <w:szCs w:val="25"/>
        </w:rPr>
        <w:t>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w:t>
      </w:r>
      <w:r w:rsidRPr="00E6379A">
        <w:rPr>
          <w:sz w:val="25"/>
          <w:szCs w:val="25"/>
        </w:rPr>
        <w:t xml:space="preserve">меру удовлетворенных судом исковых требований, а ответчику пропорционально той части исковых требований, в которой истцу отказано. </w:t>
      </w:r>
    </w:p>
    <w:p w:rsidR="006454F4" w:rsidRPr="00E6379A" w:rsidP="006454F4">
      <w:pPr>
        <w:ind w:firstLine="720"/>
        <w:jc w:val="both"/>
        <w:rPr>
          <w:sz w:val="25"/>
          <w:szCs w:val="25"/>
        </w:rPr>
      </w:pPr>
      <w:r w:rsidRPr="00E6379A">
        <w:rPr>
          <w:sz w:val="25"/>
          <w:szCs w:val="25"/>
        </w:rPr>
        <w:t xml:space="preserve">Учитывая изложенное, </w:t>
      </w:r>
      <w:r w:rsidRPr="00E6379A">
        <w:rPr>
          <w:color w:val="000000"/>
          <w:sz w:val="25"/>
          <w:szCs w:val="25"/>
        </w:rPr>
        <w:t xml:space="preserve">с ответчика </w:t>
      </w:r>
      <w:r w:rsidRPr="00E6379A" w:rsidR="00691437">
        <w:rPr>
          <w:color w:val="000000"/>
          <w:sz w:val="25"/>
          <w:szCs w:val="25"/>
        </w:rPr>
        <w:t>Рябоконь Р.Ф.</w:t>
      </w:r>
      <w:r w:rsidRPr="00E6379A">
        <w:rPr>
          <w:color w:val="000000"/>
          <w:sz w:val="25"/>
          <w:szCs w:val="25"/>
        </w:rPr>
        <w:t xml:space="preserve"> подлежат взысканию в пользу истца судебные расходы по оплате государственной </w:t>
      </w:r>
      <w:r w:rsidRPr="00E6379A">
        <w:rPr>
          <w:color w:val="000000"/>
          <w:sz w:val="25"/>
          <w:szCs w:val="25"/>
        </w:rPr>
        <w:t xml:space="preserve">пошлины </w:t>
      </w:r>
      <w:r w:rsidRPr="00E6379A">
        <w:rPr>
          <w:sz w:val="25"/>
          <w:szCs w:val="25"/>
        </w:rPr>
        <w:t>пропорционально размеру удовлетворенных судом исковых требований</w:t>
      </w:r>
      <w:r w:rsidRPr="00E6379A">
        <w:rPr>
          <w:color w:val="000000"/>
          <w:sz w:val="25"/>
          <w:szCs w:val="25"/>
        </w:rPr>
        <w:t xml:space="preserve"> в размере </w:t>
      </w:r>
      <w:r w:rsidRPr="00E6379A" w:rsidR="00691437">
        <w:rPr>
          <w:color w:val="000000"/>
          <w:sz w:val="25"/>
          <w:szCs w:val="25"/>
        </w:rPr>
        <w:t>1 011,75</w:t>
      </w:r>
      <w:r w:rsidRPr="00E6379A">
        <w:rPr>
          <w:color w:val="000000"/>
          <w:sz w:val="25"/>
          <w:szCs w:val="25"/>
        </w:rPr>
        <w:t xml:space="preserve"> руб. </w:t>
      </w:r>
    </w:p>
    <w:p w:rsidR="006454F4" w:rsidRPr="00E6379A" w:rsidP="006454F4">
      <w:pPr>
        <w:ind w:firstLine="708"/>
        <w:jc w:val="both"/>
        <w:rPr>
          <w:sz w:val="25"/>
          <w:szCs w:val="25"/>
        </w:rPr>
      </w:pPr>
      <w:r w:rsidRPr="00E6379A">
        <w:rPr>
          <w:sz w:val="25"/>
          <w:szCs w:val="25"/>
        </w:rPr>
        <w:t>руководствуясь статьями 194-199 ГПК РФ,</w:t>
      </w:r>
    </w:p>
    <w:p w:rsidR="0088451B" w:rsidRPr="00E6379A" w:rsidP="001C5589">
      <w:pPr>
        <w:jc w:val="center"/>
        <w:rPr>
          <w:b/>
          <w:bCs/>
          <w:sz w:val="25"/>
          <w:szCs w:val="25"/>
        </w:rPr>
      </w:pPr>
      <w:r w:rsidRPr="00E6379A">
        <w:rPr>
          <w:b/>
          <w:bCs/>
          <w:sz w:val="25"/>
          <w:szCs w:val="25"/>
        </w:rPr>
        <w:t>р е ш и л:</w:t>
      </w:r>
    </w:p>
    <w:p w:rsidR="00A40896" w:rsidRPr="00E6379A" w:rsidP="00C06F65">
      <w:pPr>
        <w:jc w:val="both"/>
        <w:rPr>
          <w:sz w:val="25"/>
          <w:szCs w:val="25"/>
        </w:rPr>
      </w:pPr>
      <w:r w:rsidRPr="00E6379A">
        <w:rPr>
          <w:sz w:val="25"/>
          <w:szCs w:val="25"/>
        </w:rPr>
        <w:tab/>
        <w:t xml:space="preserve">исковое заявление </w:t>
      </w:r>
      <w:r w:rsidRPr="00E6379A" w:rsidR="00EC17EC">
        <w:rPr>
          <w:sz w:val="25"/>
          <w:szCs w:val="25"/>
        </w:rPr>
        <w:t>некоммерческой организации «Региональный фонд капитального ремонта многоквартирных домов Республики Крым»</w:t>
      </w:r>
      <w:r w:rsidRPr="00E6379A">
        <w:rPr>
          <w:sz w:val="25"/>
          <w:szCs w:val="25"/>
        </w:rPr>
        <w:t xml:space="preserve"> удовлетворить</w:t>
      </w:r>
      <w:r w:rsidRPr="00E6379A" w:rsidR="00351E75">
        <w:rPr>
          <w:sz w:val="25"/>
          <w:szCs w:val="25"/>
        </w:rPr>
        <w:t xml:space="preserve"> частично</w:t>
      </w:r>
      <w:r w:rsidRPr="00E6379A" w:rsidR="00E24A05">
        <w:rPr>
          <w:sz w:val="25"/>
          <w:szCs w:val="25"/>
        </w:rPr>
        <w:t>.</w:t>
      </w:r>
    </w:p>
    <w:p w:rsidR="007A0F9C" w:rsidRPr="00E6379A" w:rsidP="00A40896">
      <w:pPr>
        <w:ind w:firstLine="708"/>
        <w:jc w:val="both"/>
        <w:rPr>
          <w:sz w:val="25"/>
          <w:szCs w:val="25"/>
        </w:rPr>
      </w:pPr>
      <w:r w:rsidRPr="00E6379A">
        <w:rPr>
          <w:sz w:val="25"/>
          <w:szCs w:val="25"/>
        </w:rPr>
        <w:t xml:space="preserve">Взыскать с </w:t>
      </w:r>
      <w:r w:rsidRPr="00E6379A" w:rsidR="00F278C3">
        <w:rPr>
          <w:sz w:val="25"/>
          <w:szCs w:val="25"/>
        </w:rPr>
        <w:t xml:space="preserve">Рябоконь </w:t>
      </w:r>
      <w:r w:rsidR="00B63106">
        <w:rPr>
          <w:sz w:val="25"/>
          <w:szCs w:val="25"/>
        </w:rPr>
        <w:t>Р.Ф., персональные данные</w:t>
      </w:r>
      <w:r w:rsidRPr="00E6379A" w:rsidR="00C21AD9">
        <w:rPr>
          <w:sz w:val="25"/>
          <w:szCs w:val="25"/>
        </w:rPr>
        <w:t xml:space="preserve"> </w:t>
      </w:r>
      <w:r w:rsidRPr="00E6379A" w:rsidR="00F32857">
        <w:rPr>
          <w:sz w:val="25"/>
          <w:szCs w:val="25"/>
        </w:rPr>
        <w:t>в</w:t>
      </w:r>
      <w:r w:rsidRPr="00E6379A">
        <w:rPr>
          <w:sz w:val="25"/>
          <w:szCs w:val="25"/>
        </w:rPr>
        <w:t xml:space="preserve"> пользу некоммерческой организации «Региональный фонд капитального ремонта многоквартирных домов Республики Крым», </w:t>
      </w:r>
      <w:r w:rsidRPr="00E6379A" w:rsidR="00EC17EC">
        <w:rPr>
          <w:sz w:val="25"/>
          <w:szCs w:val="25"/>
        </w:rPr>
        <w:t>ИНН 9102066504 задолженност</w:t>
      </w:r>
      <w:r w:rsidRPr="00E6379A">
        <w:rPr>
          <w:sz w:val="25"/>
          <w:szCs w:val="25"/>
        </w:rPr>
        <w:t>ь</w:t>
      </w:r>
      <w:r w:rsidRPr="00E6379A" w:rsidR="00EC17EC">
        <w:rPr>
          <w:sz w:val="25"/>
          <w:szCs w:val="25"/>
        </w:rPr>
        <w:t xml:space="preserve"> по уплате взносов на капитальный ремонт общего имущества многоквартирн</w:t>
      </w:r>
      <w:r w:rsidRPr="00E6379A" w:rsidR="006427A9">
        <w:rPr>
          <w:sz w:val="25"/>
          <w:szCs w:val="25"/>
        </w:rPr>
        <w:t xml:space="preserve">ого жилого </w:t>
      </w:r>
      <w:r w:rsidRPr="00E6379A" w:rsidR="00EC17EC">
        <w:rPr>
          <w:sz w:val="25"/>
          <w:szCs w:val="25"/>
        </w:rPr>
        <w:t>дома</w:t>
      </w:r>
      <w:r w:rsidRPr="00E6379A" w:rsidR="00E24A05">
        <w:rPr>
          <w:sz w:val="25"/>
          <w:szCs w:val="25"/>
        </w:rPr>
        <w:t xml:space="preserve">, расположенного по адресу: </w:t>
      </w:r>
      <w:r w:rsidR="00B63106">
        <w:rPr>
          <w:sz w:val="25"/>
          <w:szCs w:val="25"/>
        </w:rPr>
        <w:t>адрес</w:t>
      </w:r>
      <w:r w:rsidRPr="00E6379A">
        <w:rPr>
          <w:sz w:val="25"/>
          <w:szCs w:val="25"/>
        </w:rPr>
        <w:t xml:space="preserve"> за период с </w:t>
      </w:r>
      <w:r w:rsidRPr="00E6379A" w:rsidR="00F278C3">
        <w:rPr>
          <w:sz w:val="25"/>
          <w:szCs w:val="25"/>
        </w:rPr>
        <w:t xml:space="preserve">октября 2020 по </w:t>
      </w:r>
      <w:r w:rsidRPr="00E6379A" w:rsidR="00351E75">
        <w:rPr>
          <w:sz w:val="25"/>
          <w:szCs w:val="25"/>
        </w:rPr>
        <w:t>26.10.2023</w:t>
      </w:r>
      <w:r w:rsidRPr="00E6379A">
        <w:rPr>
          <w:sz w:val="25"/>
          <w:szCs w:val="25"/>
        </w:rPr>
        <w:t xml:space="preserve"> г. в размере </w:t>
      </w:r>
      <w:r w:rsidRPr="00E6379A" w:rsidR="00351E75">
        <w:rPr>
          <w:sz w:val="25"/>
          <w:szCs w:val="25"/>
        </w:rPr>
        <w:t>23 158</w:t>
      </w:r>
      <w:r w:rsidRPr="00E6379A" w:rsidR="00C21AD9">
        <w:rPr>
          <w:sz w:val="25"/>
          <w:szCs w:val="25"/>
        </w:rPr>
        <w:t xml:space="preserve"> </w:t>
      </w:r>
      <w:r w:rsidRPr="00E6379A" w:rsidR="00E24A05">
        <w:rPr>
          <w:sz w:val="25"/>
          <w:szCs w:val="25"/>
        </w:rPr>
        <w:t>(</w:t>
      </w:r>
      <w:r w:rsidRPr="00E6379A" w:rsidR="00351E75">
        <w:rPr>
          <w:sz w:val="25"/>
          <w:szCs w:val="25"/>
        </w:rPr>
        <w:t xml:space="preserve">двадцать три тысячи сто пятьдесят восемь) </w:t>
      </w:r>
      <w:r w:rsidRPr="00E6379A" w:rsidR="00E24A05">
        <w:rPr>
          <w:sz w:val="25"/>
          <w:szCs w:val="25"/>
        </w:rPr>
        <w:t xml:space="preserve"> </w:t>
      </w:r>
      <w:r w:rsidRPr="00E6379A" w:rsidR="00FB7CC1">
        <w:rPr>
          <w:sz w:val="25"/>
          <w:szCs w:val="25"/>
        </w:rPr>
        <w:t xml:space="preserve">руб. </w:t>
      </w:r>
      <w:r w:rsidRPr="00E6379A" w:rsidR="00351E75">
        <w:rPr>
          <w:sz w:val="25"/>
          <w:szCs w:val="25"/>
        </w:rPr>
        <w:t>59</w:t>
      </w:r>
      <w:r w:rsidRPr="00E6379A" w:rsidR="00FB7CC1">
        <w:rPr>
          <w:sz w:val="25"/>
          <w:szCs w:val="25"/>
        </w:rPr>
        <w:t xml:space="preserve"> коп</w:t>
      </w:r>
      <w:r w:rsidRPr="00E6379A">
        <w:rPr>
          <w:sz w:val="25"/>
          <w:szCs w:val="25"/>
        </w:rPr>
        <w:t>., пен</w:t>
      </w:r>
      <w:r w:rsidRPr="00E6379A" w:rsidR="00C23786">
        <w:rPr>
          <w:sz w:val="25"/>
          <w:szCs w:val="25"/>
        </w:rPr>
        <w:t>и</w:t>
      </w:r>
      <w:r w:rsidRPr="00E6379A">
        <w:rPr>
          <w:sz w:val="25"/>
          <w:szCs w:val="25"/>
        </w:rPr>
        <w:t xml:space="preserve"> в размере</w:t>
      </w:r>
      <w:r w:rsidRPr="00E6379A" w:rsidR="009C5A8D">
        <w:rPr>
          <w:sz w:val="25"/>
          <w:szCs w:val="25"/>
        </w:rPr>
        <w:t xml:space="preserve"> </w:t>
      </w:r>
      <w:r w:rsidRPr="00E6379A">
        <w:rPr>
          <w:sz w:val="25"/>
          <w:szCs w:val="25"/>
        </w:rPr>
        <w:t xml:space="preserve"> </w:t>
      </w:r>
      <w:r w:rsidRPr="00E6379A" w:rsidR="001376AE">
        <w:rPr>
          <w:sz w:val="25"/>
          <w:szCs w:val="25"/>
        </w:rPr>
        <w:t xml:space="preserve">3 899 </w:t>
      </w:r>
      <w:r w:rsidRPr="00E6379A" w:rsidR="00E24A05">
        <w:rPr>
          <w:sz w:val="25"/>
          <w:szCs w:val="25"/>
        </w:rPr>
        <w:t>(</w:t>
      </w:r>
      <w:r w:rsidRPr="00E6379A" w:rsidR="00F278C3">
        <w:rPr>
          <w:sz w:val="25"/>
          <w:szCs w:val="25"/>
        </w:rPr>
        <w:t xml:space="preserve">три тысячи </w:t>
      </w:r>
      <w:r w:rsidRPr="00E6379A" w:rsidR="001376AE">
        <w:rPr>
          <w:sz w:val="25"/>
          <w:szCs w:val="25"/>
        </w:rPr>
        <w:t>восемьсот девяносто девять</w:t>
      </w:r>
      <w:r w:rsidRPr="00E6379A" w:rsidR="00E24A05">
        <w:rPr>
          <w:sz w:val="25"/>
          <w:szCs w:val="25"/>
        </w:rPr>
        <w:t xml:space="preserve">) </w:t>
      </w:r>
      <w:r w:rsidRPr="00E6379A">
        <w:rPr>
          <w:sz w:val="25"/>
          <w:szCs w:val="25"/>
        </w:rPr>
        <w:t xml:space="preserve">руб. </w:t>
      </w:r>
      <w:r w:rsidRPr="00E6379A" w:rsidR="001376AE">
        <w:rPr>
          <w:sz w:val="25"/>
          <w:szCs w:val="25"/>
        </w:rPr>
        <w:t>77</w:t>
      </w:r>
      <w:r w:rsidRPr="00E6379A" w:rsidR="00C21AD9">
        <w:rPr>
          <w:sz w:val="25"/>
          <w:szCs w:val="25"/>
        </w:rPr>
        <w:t xml:space="preserve"> </w:t>
      </w:r>
      <w:r w:rsidRPr="00E6379A" w:rsidR="00E24A05">
        <w:rPr>
          <w:sz w:val="25"/>
          <w:szCs w:val="25"/>
        </w:rPr>
        <w:t>коп.</w:t>
      </w:r>
      <w:r w:rsidRPr="00E6379A">
        <w:rPr>
          <w:sz w:val="25"/>
          <w:szCs w:val="25"/>
        </w:rPr>
        <w:t xml:space="preserve">, </w:t>
      </w:r>
      <w:r w:rsidRPr="00E6379A" w:rsidR="0016760F">
        <w:rPr>
          <w:sz w:val="25"/>
          <w:szCs w:val="25"/>
        </w:rPr>
        <w:t xml:space="preserve">а также </w:t>
      </w:r>
      <w:r w:rsidRPr="00E6379A" w:rsidR="00EC17EC">
        <w:rPr>
          <w:sz w:val="25"/>
          <w:szCs w:val="25"/>
        </w:rPr>
        <w:t>расход</w:t>
      </w:r>
      <w:r w:rsidRPr="00E6379A">
        <w:rPr>
          <w:sz w:val="25"/>
          <w:szCs w:val="25"/>
        </w:rPr>
        <w:t>ы</w:t>
      </w:r>
      <w:r w:rsidRPr="00E6379A" w:rsidR="00EC17EC">
        <w:rPr>
          <w:sz w:val="25"/>
          <w:szCs w:val="25"/>
        </w:rPr>
        <w:t xml:space="preserve"> по уплате государственной пошлины</w:t>
      </w:r>
      <w:r w:rsidRPr="00E6379A" w:rsidR="001B168E">
        <w:rPr>
          <w:sz w:val="25"/>
          <w:szCs w:val="25"/>
        </w:rPr>
        <w:t xml:space="preserve"> </w:t>
      </w:r>
      <w:r w:rsidRPr="00E6379A">
        <w:rPr>
          <w:sz w:val="25"/>
          <w:szCs w:val="25"/>
        </w:rPr>
        <w:t>в размере</w:t>
      </w:r>
      <w:r w:rsidRPr="00E6379A" w:rsidR="00C21AD9">
        <w:rPr>
          <w:sz w:val="25"/>
          <w:szCs w:val="25"/>
        </w:rPr>
        <w:t xml:space="preserve"> </w:t>
      </w:r>
      <w:r w:rsidRPr="00E6379A" w:rsidR="00F278C3">
        <w:rPr>
          <w:sz w:val="25"/>
          <w:szCs w:val="25"/>
        </w:rPr>
        <w:t>1</w:t>
      </w:r>
      <w:r w:rsidRPr="00E6379A" w:rsidR="001376AE">
        <w:rPr>
          <w:sz w:val="25"/>
          <w:szCs w:val="25"/>
        </w:rPr>
        <w:t xml:space="preserve"> 011 </w:t>
      </w:r>
      <w:r w:rsidRPr="00E6379A">
        <w:rPr>
          <w:sz w:val="25"/>
          <w:szCs w:val="25"/>
        </w:rPr>
        <w:t>(</w:t>
      </w:r>
      <w:r w:rsidRPr="00E6379A" w:rsidR="00F278C3">
        <w:rPr>
          <w:sz w:val="25"/>
          <w:szCs w:val="25"/>
        </w:rPr>
        <w:t xml:space="preserve">одна тысяча </w:t>
      </w:r>
      <w:r w:rsidRPr="00E6379A" w:rsidR="001376AE">
        <w:rPr>
          <w:sz w:val="25"/>
          <w:szCs w:val="25"/>
        </w:rPr>
        <w:t>одиннадцать</w:t>
      </w:r>
      <w:r w:rsidRPr="00E6379A">
        <w:rPr>
          <w:sz w:val="25"/>
          <w:szCs w:val="25"/>
        </w:rPr>
        <w:t xml:space="preserve">) руб. </w:t>
      </w:r>
      <w:r w:rsidRPr="00E6379A" w:rsidR="001376AE">
        <w:rPr>
          <w:sz w:val="25"/>
          <w:szCs w:val="25"/>
        </w:rPr>
        <w:t>75</w:t>
      </w:r>
      <w:r w:rsidRPr="00E6379A">
        <w:rPr>
          <w:sz w:val="25"/>
          <w:szCs w:val="25"/>
        </w:rPr>
        <w:t xml:space="preserve"> коп. </w:t>
      </w:r>
    </w:p>
    <w:p w:rsidR="001376AE" w:rsidRPr="00E6379A" w:rsidP="00493AAE">
      <w:pPr>
        <w:ind w:firstLine="708"/>
        <w:jc w:val="both"/>
        <w:rPr>
          <w:sz w:val="25"/>
          <w:szCs w:val="25"/>
        </w:rPr>
      </w:pPr>
      <w:r w:rsidRPr="00E6379A">
        <w:rPr>
          <w:sz w:val="25"/>
          <w:szCs w:val="25"/>
        </w:rPr>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23 158 (двадцать три тысячи сто пятьдесят восемь)  руб. 59 коп.</w:t>
      </w:r>
    </w:p>
    <w:p w:rsidR="001C5589" w:rsidRPr="00E6379A" w:rsidP="00493AAE">
      <w:pPr>
        <w:ind w:firstLine="708"/>
        <w:jc w:val="both"/>
        <w:rPr>
          <w:color w:val="000000"/>
          <w:sz w:val="25"/>
          <w:szCs w:val="25"/>
        </w:rPr>
      </w:pPr>
      <w:r w:rsidRPr="00E6379A">
        <w:rPr>
          <w:color w:val="000000"/>
          <w:sz w:val="25"/>
          <w:szCs w:val="25"/>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w:t>
      </w:r>
      <w:r w:rsidRPr="00E6379A">
        <w:rPr>
          <w:color w:val="000000"/>
          <w:sz w:val="25"/>
          <w:szCs w:val="25"/>
        </w:rPr>
        <w:t>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23786" w:rsidRPr="00E6379A" w:rsidP="00C23786">
      <w:pPr>
        <w:pStyle w:val="BodyTextIndent3"/>
        <w:spacing w:after="0"/>
        <w:ind w:left="0" w:firstLine="708"/>
        <w:jc w:val="both"/>
        <w:rPr>
          <w:sz w:val="25"/>
          <w:szCs w:val="25"/>
        </w:rPr>
      </w:pPr>
      <w:r w:rsidRPr="00E6379A">
        <w:rPr>
          <w:color w:val="000000"/>
          <w:sz w:val="25"/>
          <w:szCs w:val="25"/>
        </w:rPr>
        <w:t>Решение может быть обжаловано в апелляционном порядке в Красноперекопский районный</w:t>
      </w:r>
      <w:r w:rsidRPr="00E6379A">
        <w:rPr>
          <w:color w:val="000000"/>
          <w:sz w:val="25"/>
          <w:szCs w:val="25"/>
        </w:rPr>
        <w:t xml:space="preserve"> суд Республики Крым в течение месяца со дня его принятия в окончательной форме через судебный участок № 58 Красноперекопского судебного района Республики Крым.</w:t>
      </w:r>
    </w:p>
    <w:p w:rsidR="006454F4" w:rsidRPr="00E6379A" w:rsidP="006454F4">
      <w:pPr>
        <w:pStyle w:val="BodyTextIndent3"/>
        <w:spacing w:after="0"/>
        <w:ind w:left="0" w:firstLine="708"/>
        <w:jc w:val="both"/>
        <w:rPr>
          <w:sz w:val="25"/>
          <w:szCs w:val="25"/>
        </w:rPr>
      </w:pPr>
      <w:r w:rsidRPr="00E6379A">
        <w:rPr>
          <w:color w:val="000000"/>
          <w:sz w:val="25"/>
          <w:szCs w:val="25"/>
        </w:rPr>
        <w:t xml:space="preserve">Мотивированное решение составлено 27 марта 2024 г. </w:t>
      </w:r>
    </w:p>
    <w:p w:rsidR="00C23786" w:rsidRPr="00E6379A" w:rsidP="006B6727">
      <w:pPr>
        <w:pStyle w:val="BodyTextIndent3"/>
        <w:spacing w:after="0"/>
        <w:ind w:left="0"/>
        <w:jc w:val="both"/>
        <w:rPr>
          <w:sz w:val="25"/>
          <w:szCs w:val="25"/>
        </w:rPr>
      </w:pPr>
    </w:p>
    <w:p w:rsidR="002F6D47" w:rsidRPr="00E6379A" w:rsidP="006B6727">
      <w:pPr>
        <w:pStyle w:val="BodyTextIndent3"/>
        <w:spacing w:after="0"/>
        <w:ind w:left="0"/>
        <w:jc w:val="both"/>
        <w:rPr>
          <w:b/>
          <w:sz w:val="25"/>
          <w:szCs w:val="25"/>
        </w:rPr>
      </w:pPr>
      <w:r w:rsidRPr="00E6379A">
        <w:rPr>
          <w:sz w:val="25"/>
          <w:szCs w:val="25"/>
        </w:rPr>
        <w:t>Председательствующий</w:t>
      </w:r>
      <w:r w:rsidRPr="00E6379A">
        <w:rPr>
          <w:sz w:val="25"/>
          <w:szCs w:val="25"/>
        </w:rPr>
        <w:tab/>
      </w:r>
      <w:r w:rsidRPr="00E6379A">
        <w:rPr>
          <w:sz w:val="25"/>
          <w:szCs w:val="25"/>
        </w:rPr>
        <w:tab/>
      </w:r>
      <w:r w:rsidRPr="00E6379A">
        <w:rPr>
          <w:sz w:val="25"/>
          <w:szCs w:val="25"/>
        </w:rPr>
        <w:tab/>
      </w:r>
      <w:r w:rsidRPr="00E6379A" w:rsidR="001B168E">
        <w:rPr>
          <w:sz w:val="25"/>
          <w:szCs w:val="25"/>
        </w:rPr>
        <w:tab/>
      </w:r>
      <w:r w:rsidRPr="00E6379A" w:rsidR="009C5A8D">
        <w:rPr>
          <w:sz w:val="25"/>
          <w:szCs w:val="25"/>
        </w:rPr>
        <w:tab/>
      </w:r>
      <w:r w:rsidRPr="00E6379A" w:rsidR="009C5A8D">
        <w:rPr>
          <w:sz w:val="25"/>
          <w:szCs w:val="25"/>
        </w:rPr>
        <w:tab/>
      </w:r>
      <w:r w:rsidRPr="00E6379A">
        <w:rPr>
          <w:sz w:val="25"/>
          <w:szCs w:val="25"/>
        </w:rPr>
        <w:tab/>
      </w:r>
      <w:r w:rsidRPr="00E6379A" w:rsidR="002F455F">
        <w:rPr>
          <w:sz w:val="25"/>
          <w:szCs w:val="25"/>
        </w:rPr>
        <w:tab/>
      </w:r>
      <w:r w:rsidRPr="00E6379A" w:rsidR="001B168E">
        <w:rPr>
          <w:sz w:val="25"/>
          <w:szCs w:val="25"/>
        </w:rPr>
        <w:tab/>
      </w:r>
      <w:r w:rsidRPr="00E6379A" w:rsidR="009C5A8D">
        <w:rPr>
          <w:sz w:val="25"/>
          <w:szCs w:val="25"/>
        </w:rPr>
        <w:t>А.С. Захарова</w:t>
      </w:r>
      <w:r w:rsidRPr="00E6379A" w:rsidR="00DD4993">
        <w:rPr>
          <w:sz w:val="25"/>
          <w:szCs w:val="25"/>
        </w:rPr>
        <w:t xml:space="preserve"> </w:t>
      </w:r>
    </w:p>
    <w:sectPr w:rsidSect="00D935DB">
      <w:headerReference w:type="even" r:id="rId5"/>
      <w:headerReference w:type="default" r:id="rId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106">
      <w:rPr>
        <w:rStyle w:val="PageNumber"/>
        <w:noProof/>
      </w:rPr>
      <w:t>6</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128C"/>
    <w:rsid w:val="000513AF"/>
    <w:rsid w:val="000520FD"/>
    <w:rsid w:val="0006601A"/>
    <w:rsid w:val="000B00E7"/>
    <w:rsid w:val="00113DB5"/>
    <w:rsid w:val="0012515A"/>
    <w:rsid w:val="00131818"/>
    <w:rsid w:val="001348FB"/>
    <w:rsid w:val="001376AE"/>
    <w:rsid w:val="00137E4F"/>
    <w:rsid w:val="0014579D"/>
    <w:rsid w:val="00152882"/>
    <w:rsid w:val="00154ACB"/>
    <w:rsid w:val="00157D59"/>
    <w:rsid w:val="0016760F"/>
    <w:rsid w:val="001B168E"/>
    <w:rsid w:val="001C5589"/>
    <w:rsid w:val="001C77DB"/>
    <w:rsid w:val="001E3C76"/>
    <w:rsid w:val="002027AF"/>
    <w:rsid w:val="0023378A"/>
    <w:rsid w:val="00237B8E"/>
    <w:rsid w:val="00282E23"/>
    <w:rsid w:val="002F455F"/>
    <w:rsid w:val="002F5FE3"/>
    <w:rsid w:val="002F6D47"/>
    <w:rsid w:val="003263A4"/>
    <w:rsid w:val="0035113E"/>
    <w:rsid w:val="00351E75"/>
    <w:rsid w:val="00373923"/>
    <w:rsid w:val="00380C98"/>
    <w:rsid w:val="00385575"/>
    <w:rsid w:val="00392597"/>
    <w:rsid w:val="003A6B70"/>
    <w:rsid w:val="003C7FA2"/>
    <w:rsid w:val="003D60E4"/>
    <w:rsid w:val="003E22A3"/>
    <w:rsid w:val="004162CB"/>
    <w:rsid w:val="004260D2"/>
    <w:rsid w:val="0044747C"/>
    <w:rsid w:val="004635E8"/>
    <w:rsid w:val="00470688"/>
    <w:rsid w:val="00483774"/>
    <w:rsid w:val="00484477"/>
    <w:rsid w:val="00493AAE"/>
    <w:rsid w:val="00525DFE"/>
    <w:rsid w:val="00561BD3"/>
    <w:rsid w:val="00586080"/>
    <w:rsid w:val="005A1C85"/>
    <w:rsid w:val="005C3485"/>
    <w:rsid w:val="005D4100"/>
    <w:rsid w:val="005E6BB7"/>
    <w:rsid w:val="005F3319"/>
    <w:rsid w:val="006427A9"/>
    <w:rsid w:val="006454F4"/>
    <w:rsid w:val="00686193"/>
    <w:rsid w:val="00691437"/>
    <w:rsid w:val="006929FE"/>
    <w:rsid w:val="006A34F6"/>
    <w:rsid w:val="006A44EA"/>
    <w:rsid w:val="006B6727"/>
    <w:rsid w:val="006E2FB0"/>
    <w:rsid w:val="007A0F9C"/>
    <w:rsid w:val="007A2935"/>
    <w:rsid w:val="007E690C"/>
    <w:rsid w:val="007F7D1F"/>
    <w:rsid w:val="00803370"/>
    <w:rsid w:val="00845F81"/>
    <w:rsid w:val="00876771"/>
    <w:rsid w:val="0088451B"/>
    <w:rsid w:val="008A26B2"/>
    <w:rsid w:val="008A442C"/>
    <w:rsid w:val="00921BEA"/>
    <w:rsid w:val="00923532"/>
    <w:rsid w:val="00932073"/>
    <w:rsid w:val="00942562"/>
    <w:rsid w:val="009425BD"/>
    <w:rsid w:val="00962921"/>
    <w:rsid w:val="00992EDB"/>
    <w:rsid w:val="009C5A8D"/>
    <w:rsid w:val="009D4FF2"/>
    <w:rsid w:val="00A40896"/>
    <w:rsid w:val="00A53FEA"/>
    <w:rsid w:val="00A871D1"/>
    <w:rsid w:val="00AF37E5"/>
    <w:rsid w:val="00AF626A"/>
    <w:rsid w:val="00B3770C"/>
    <w:rsid w:val="00B63106"/>
    <w:rsid w:val="00B72062"/>
    <w:rsid w:val="00B74FF0"/>
    <w:rsid w:val="00B75CF2"/>
    <w:rsid w:val="00B8268B"/>
    <w:rsid w:val="00BF4E09"/>
    <w:rsid w:val="00C02FE0"/>
    <w:rsid w:val="00C06F65"/>
    <w:rsid w:val="00C21AD9"/>
    <w:rsid w:val="00C22A48"/>
    <w:rsid w:val="00C23786"/>
    <w:rsid w:val="00C368DD"/>
    <w:rsid w:val="00C36F96"/>
    <w:rsid w:val="00C64D07"/>
    <w:rsid w:val="00C70F4D"/>
    <w:rsid w:val="00CD7BA2"/>
    <w:rsid w:val="00CE3AD3"/>
    <w:rsid w:val="00CE4FD4"/>
    <w:rsid w:val="00CF432F"/>
    <w:rsid w:val="00D10DDA"/>
    <w:rsid w:val="00D177D4"/>
    <w:rsid w:val="00D2056D"/>
    <w:rsid w:val="00D476C6"/>
    <w:rsid w:val="00D84D5E"/>
    <w:rsid w:val="00D935DB"/>
    <w:rsid w:val="00DD4993"/>
    <w:rsid w:val="00DE333F"/>
    <w:rsid w:val="00DF3658"/>
    <w:rsid w:val="00E02BD4"/>
    <w:rsid w:val="00E24A05"/>
    <w:rsid w:val="00E37594"/>
    <w:rsid w:val="00E42356"/>
    <w:rsid w:val="00E6379A"/>
    <w:rsid w:val="00E64BA6"/>
    <w:rsid w:val="00E74B95"/>
    <w:rsid w:val="00E97C90"/>
    <w:rsid w:val="00EA4525"/>
    <w:rsid w:val="00EC17EC"/>
    <w:rsid w:val="00EC5812"/>
    <w:rsid w:val="00EC75B3"/>
    <w:rsid w:val="00EE564C"/>
    <w:rsid w:val="00F107BD"/>
    <w:rsid w:val="00F14F02"/>
    <w:rsid w:val="00F23356"/>
    <w:rsid w:val="00F278C3"/>
    <w:rsid w:val="00F32857"/>
    <w:rsid w:val="00F34FE3"/>
    <w:rsid w:val="00F53A6A"/>
    <w:rsid w:val="00F80051"/>
    <w:rsid w:val="00FA058E"/>
    <w:rsid w:val="00FB7CC1"/>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1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unhideWhenUsed/>
    <w:rsid w:val="006454F4"/>
    <w:rPr>
      <w:rFonts w:cs="Times New Roman"/>
      <w:color w:val="0563C1"/>
      <w:u w:val="single"/>
    </w:rPr>
  </w:style>
  <w:style w:type="table" w:styleId="TableGrid">
    <w:name w:val="Table Grid"/>
    <w:basedOn w:val="TableNormal"/>
    <w:uiPriority w:val="39"/>
    <w:rsid w:val="0064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7D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cation.pravo.gov.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