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Pr="007B065B" w:rsidR="00785762">
        <w:rPr>
          <w:rFonts w:ascii="Times New Roman" w:hAnsi="Times New Roman" w:cs="Times New Roman"/>
          <w:sz w:val="28"/>
          <w:szCs w:val="28"/>
        </w:rPr>
        <w:t>1</w:t>
      </w:r>
      <w:r w:rsidRPr="007B065B">
        <w:rPr>
          <w:rFonts w:ascii="Times New Roman" w:hAnsi="Times New Roman" w:cs="Times New Roman"/>
          <w:sz w:val="28"/>
          <w:szCs w:val="28"/>
        </w:rPr>
        <w:t>-</w:t>
      </w:r>
      <w:r w:rsidRPr="007B065B" w:rsidR="0026225C">
        <w:rPr>
          <w:rFonts w:ascii="Times New Roman" w:hAnsi="Times New Roman" w:cs="Times New Roman"/>
          <w:sz w:val="28"/>
          <w:szCs w:val="28"/>
        </w:rPr>
        <w:t>127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6</w:t>
      </w:r>
      <w:r w:rsidRPr="007B065B" w:rsidR="00061337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7B065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7B065B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26225C" w:rsidRPr="007B065B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с участием представителя истца Прокопенко В.О.,</w:t>
      </w:r>
    </w:p>
    <w:p w:rsidR="0026225C" w:rsidRPr="007B065B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7B065B">
        <w:rPr>
          <w:rFonts w:ascii="Times New Roman" w:hAnsi="Times New Roman" w:cs="Times New Roman"/>
          <w:sz w:val="28"/>
          <w:szCs w:val="28"/>
        </w:rPr>
        <w:t>Луговой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645A3C">
        <w:rPr>
          <w:rFonts w:ascii="Times New Roman" w:hAnsi="Times New Roman" w:cs="Times New Roman"/>
          <w:sz w:val="28"/>
          <w:szCs w:val="28"/>
        </w:rPr>
        <w:t>Л.С.,</w:t>
      </w:r>
    </w:p>
    <w:p w:rsidR="00645A3C" w:rsidRPr="007B065B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пред</w:t>
      </w:r>
      <w:r w:rsidRPr="007B065B">
        <w:rPr>
          <w:rFonts w:ascii="Times New Roman" w:hAnsi="Times New Roman" w:cs="Times New Roman"/>
          <w:sz w:val="28"/>
          <w:szCs w:val="28"/>
        </w:rPr>
        <w:t>ставителя ответчика Клименковой Н.В.,</w:t>
      </w:r>
    </w:p>
    <w:p w:rsidR="00756C31" w:rsidRPr="007B065B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Pr="007B065B" w:rsidR="00645A3C">
        <w:rPr>
          <w:rFonts w:ascii="Times New Roman" w:hAnsi="Times New Roman" w:cs="Times New Roman"/>
          <w:sz w:val="28"/>
          <w:szCs w:val="28"/>
        </w:rPr>
        <w:t>Луговой Лю</w:t>
      </w:r>
      <w:r w:rsidRPr="007B065B" w:rsidR="00ED298B">
        <w:rPr>
          <w:rFonts w:ascii="Times New Roman" w:hAnsi="Times New Roman" w:cs="Times New Roman"/>
          <w:sz w:val="28"/>
          <w:szCs w:val="28"/>
        </w:rPr>
        <w:t xml:space="preserve">дмиле Сергеевне, третьи лица, не заявляющие самостоятельных требований относительно предмета спора, на стороне ответчика, </w:t>
      </w:r>
      <w:r w:rsidRPr="007B065B" w:rsidR="006D1058">
        <w:rPr>
          <w:rFonts w:ascii="Times New Roman" w:hAnsi="Times New Roman" w:cs="Times New Roman"/>
          <w:sz w:val="28"/>
          <w:szCs w:val="28"/>
        </w:rPr>
        <w:t xml:space="preserve"> МУП «Лениновское МЖКХ», Администрация Ленинского района Республики Крым, Администрация Лениновского сельского поселения Ленинского района Республики Крым,</w:t>
      </w:r>
      <w:r w:rsidRPr="007B065B" w:rsidR="008B7EAA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F805A3">
        <w:rPr>
          <w:rFonts w:ascii="Times New Roman" w:hAnsi="Times New Roman" w:cs="Times New Roman"/>
          <w:sz w:val="28"/>
          <w:szCs w:val="28"/>
        </w:rPr>
        <w:t>о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F805A3">
        <w:rPr>
          <w:rFonts w:ascii="Times New Roman" w:hAnsi="Times New Roman" w:cs="Times New Roman"/>
          <w:sz w:val="28"/>
          <w:szCs w:val="28"/>
        </w:rPr>
        <w:t>взыскании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доме,</w:t>
      </w:r>
    </w:p>
    <w:p w:rsidR="00D80320" w:rsidRPr="007B065B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</w:t>
      </w: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0320" w:rsidRPr="007B065B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7B065B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7B065B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143B65" w:rsidRPr="007B065B" w:rsidP="00143B65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B065B" w:rsidR="005C41A7">
        <w:rPr>
          <w:rFonts w:ascii="Times New Roman" w:hAnsi="Times New Roman" w:cs="Times New Roman"/>
          <w:sz w:val="28"/>
          <w:szCs w:val="28"/>
        </w:rPr>
        <w:t>Луговой Людмилы Сергеевны</w:t>
      </w:r>
      <w:r w:rsidRPr="007B06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Pr="007B065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7B065B">
        <w:rPr>
          <w:rFonts w:ascii="Times New Roman" w:hAnsi="Times New Roman" w:cs="Times New Roman"/>
          <w:sz w:val="28"/>
          <w:szCs w:val="28"/>
        </w:rPr>
        <w:t>(</w:t>
      </w:r>
      <w:r w:rsidRPr="007B065B" w:rsidR="00756349">
        <w:rPr>
          <w:rFonts w:ascii="Times New Roman" w:hAnsi="Times New Roman" w:cs="Times New Roman"/>
          <w:sz w:val="28"/>
          <w:szCs w:val="28"/>
        </w:rPr>
        <w:t xml:space="preserve">ОГРН 1149102047962, ИНН 9102028499, КПП 910201001, </w:t>
      </w:r>
      <w:r w:rsidRPr="007B065B" w:rsidR="00027E9F">
        <w:rPr>
          <w:rFonts w:ascii="Times New Roman" w:hAnsi="Times New Roman" w:cs="Times New Roman"/>
          <w:sz w:val="28"/>
          <w:szCs w:val="28"/>
        </w:rPr>
        <w:t>р</w:t>
      </w:r>
      <w:r w:rsidRPr="007B065B" w:rsidR="00027E9F">
        <w:rPr>
          <w:rFonts w:ascii="Times New Roman" w:hAnsi="Times New Roman" w:cs="Times New Roman"/>
          <w:sz w:val="28"/>
          <w:szCs w:val="28"/>
        </w:rPr>
        <w:t>/счёт 40602810140480000012, РНКБ Банк (ПАО) г. Симферополь, получатель ГУП РК «Крымтеплокоммунэнерго»</w:t>
      </w:r>
      <w:r w:rsidRPr="007B065B" w:rsidR="00D65309">
        <w:rPr>
          <w:rFonts w:ascii="Times New Roman" w:hAnsi="Times New Roman" w:cs="Times New Roman"/>
          <w:sz w:val="28"/>
          <w:szCs w:val="28"/>
        </w:rPr>
        <w:t>, БИК 043510607</w:t>
      </w:r>
      <w:r w:rsidRPr="007B065B">
        <w:rPr>
          <w:rFonts w:ascii="Times New Roman" w:hAnsi="Times New Roman" w:cs="Times New Roman"/>
          <w:sz w:val="28"/>
          <w:szCs w:val="28"/>
        </w:rPr>
        <w:t xml:space="preserve">), 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7B065B">
        <w:rPr>
          <w:rFonts w:ascii="Times New Roman" w:hAnsi="Times New Roman" w:cs="Times New Roman"/>
          <w:sz w:val="28"/>
          <w:szCs w:val="28"/>
        </w:rPr>
        <w:t xml:space="preserve">, </w:t>
      </w:r>
      <w:r w:rsidRPr="007B065B" w:rsidR="00805664">
        <w:rPr>
          <w:rFonts w:ascii="Times New Roman" w:hAnsi="Times New Roman" w:cs="Times New Roman"/>
          <w:sz w:val="28"/>
          <w:szCs w:val="28"/>
        </w:rPr>
        <w:t>с учётом</w:t>
      </w:r>
      <w:r w:rsidRPr="007B065B" w:rsidR="00273C0A">
        <w:rPr>
          <w:rFonts w:ascii="Times New Roman" w:hAnsi="Times New Roman" w:cs="Times New Roman"/>
          <w:sz w:val="28"/>
          <w:szCs w:val="28"/>
        </w:rPr>
        <w:t xml:space="preserve"> сроков исковой давности</w:t>
      </w:r>
      <w:r w:rsidRPr="007B065B" w:rsidR="00CF641B">
        <w:rPr>
          <w:rFonts w:ascii="Times New Roman" w:hAnsi="Times New Roman" w:cs="Times New Roman"/>
          <w:sz w:val="28"/>
          <w:szCs w:val="28"/>
        </w:rPr>
        <w:t>,</w:t>
      </w:r>
      <w:r w:rsidRPr="007B065B" w:rsidR="003B249E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3081A" w:rsidRPr="007B065B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B065B" w:rsidR="002D7823">
        <w:rPr>
          <w:rFonts w:ascii="Times New Roman" w:hAnsi="Times New Roman" w:cs="Times New Roman"/>
          <w:sz w:val="28"/>
          <w:szCs w:val="28"/>
        </w:rPr>
        <w:t xml:space="preserve">Луговой Людмилы Сергеевны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2D7823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КПП 911143001, </w:t>
      </w:r>
      <w:r w:rsidRPr="007B065B" w:rsidR="002D7823">
        <w:rPr>
          <w:rFonts w:ascii="Times New Roman" w:hAnsi="Times New Roman" w:cs="Times New Roman"/>
          <w:sz w:val="28"/>
          <w:szCs w:val="28"/>
        </w:rPr>
        <w:t>р</w:t>
      </w:r>
      <w:r w:rsidRPr="007B065B" w:rsidR="002D7823">
        <w:rPr>
          <w:rFonts w:ascii="Times New Roman" w:hAnsi="Times New Roman" w:cs="Times New Roman"/>
          <w:sz w:val="28"/>
          <w:szCs w:val="28"/>
        </w:rPr>
        <w:t xml:space="preserve">/счёт 40602810441020000003, РНКБ Банк (ПАО) г. Симферополь, получатель Филиал ГУП РК «Крымтеплокоммунэнерго» в г. Керчь, БИК 043510607) </w:t>
      </w:r>
      <w:r w:rsidRPr="007B065B">
        <w:rPr>
          <w:rFonts w:ascii="Times New Roman" w:hAnsi="Times New Roman" w:cs="Times New Roman"/>
          <w:sz w:val="28"/>
          <w:szCs w:val="28"/>
        </w:rPr>
        <w:t xml:space="preserve">государственную пошлину пропорционально удовлетворённым требованиям </w:t>
      </w:r>
      <w:r w:rsidRPr="007B065B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D80320" w:rsidRPr="007B065B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RPr="007B065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</w:t>
      </w:r>
      <w:r w:rsidRPr="007B065B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7B065B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</w:t>
      </w:r>
      <w:r w:rsidRPr="007B065B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7B065B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B065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7B065B" w:rsidP="00D80320">
      <w:pPr>
        <w:spacing w:line="240" w:lineRule="auto"/>
        <w:ind w:firstLine="547"/>
        <w:contextualSpacing/>
        <w:rPr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RPr="007B06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D23" w:rsidRPr="007B06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C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901C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считаем период исковой давности, когда после отмены приказа до подачи иска больше полугода </w:t>
      </w:r>
    </w:p>
    <w:p w:rsidR="00B53394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обратились за приказом 08.04.2021</w:t>
      </w:r>
    </w:p>
    <w:p w:rsidR="00B53394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отмена приказа 23.06.2021</w:t>
      </w:r>
    </w:p>
    <w:p w:rsidR="00B53394" w:rsidP="00930FE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дней во время этой судебной защиты – </w:t>
      </w:r>
      <w:r w:rsidR="00930FE5">
        <w:rPr>
          <w:rFonts w:ascii="Times New Roman" w:hAnsi="Times New Roman" w:cs="Times New Roman"/>
          <w:sz w:val="28"/>
        </w:rPr>
        <w:t xml:space="preserve">включая конечную дату </w:t>
      </w:r>
      <w:r w:rsidRPr="00930FE5" w:rsidR="00930FE5">
        <w:rPr>
          <w:rFonts w:ascii="Times New Roman" w:hAnsi="Times New Roman" w:cs="Times New Roman"/>
          <w:sz w:val="28"/>
        </w:rPr>
        <w:t>77</w:t>
      </w:r>
    </w:p>
    <w:p w:rsidR="00DF3918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обратились с иском </w:t>
      </w:r>
      <w:r w:rsidR="00B53394">
        <w:rPr>
          <w:rFonts w:ascii="Times New Roman" w:hAnsi="Times New Roman" w:cs="Times New Roman"/>
          <w:sz w:val="28"/>
        </w:rPr>
        <w:t>14.11.2022</w:t>
      </w:r>
    </w:p>
    <w:p w:rsidR="00930FE5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отнимаем три года и 77 дней</w:t>
      </w:r>
    </w:p>
    <w:p w:rsidR="00930FE5" w:rsidP="00D31F1C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не включаем конечную дату итого 29.08.2019 – с него взыскиваем</w:t>
      </w:r>
    </w:p>
    <w:p w:rsidR="00D31F1C" w:rsidP="00D31F1C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28.08.2019 включительно не взыскиваем</w:t>
      </w:r>
    </w:p>
    <w:p w:rsidR="00B53394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F4BB5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взыскание</w:t>
      </w:r>
      <w:r w:rsidR="000E1290">
        <w:rPr>
          <w:rFonts w:ascii="Times New Roman" w:hAnsi="Times New Roman" w:cs="Times New Roman"/>
          <w:sz w:val="28"/>
        </w:rPr>
        <w:t xml:space="preserve"> по фактическому начислению</w:t>
      </w:r>
    </w:p>
    <w:p w:rsidR="00940FF4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корректировка за месяцы</w:t>
      </w:r>
      <w:r w:rsidR="00761DFB">
        <w:rPr>
          <w:rFonts w:ascii="Times New Roman" w:hAnsi="Times New Roman" w:cs="Times New Roman"/>
          <w:sz w:val="28"/>
        </w:rPr>
        <w:t xml:space="preserve"> 1278,88</w:t>
      </w:r>
    </w:p>
    <w:p w:rsidR="002D7437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01.01.2019 по 31.08.2019 </w:t>
      </w:r>
      <w:r w:rsidR="000B17F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83,09</w:t>
      </w:r>
      <w:r w:rsidR="000B17FD">
        <w:rPr>
          <w:rFonts w:ascii="Times New Roman" w:hAnsi="Times New Roman" w:cs="Times New Roman"/>
          <w:sz w:val="28"/>
        </w:rPr>
        <w:t>*8=</w:t>
      </w:r>
      <w:r w:rsidRPr="000B17FD" w:rsidR="000B17FD">
        <w:rPr>
          <w:rFonts w:ascii="Times New Roman" w:hAnsi="Times New Roman" w:cs="Times New Roman"/>
          <w:sz w:val="28"/>
        </w:rPr>
        <w:t>664,72</w:t>
      </w:r>
    </w:p>
    <w:p w:rsidR="0065642A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0</w:t>
      </w:r>
      <w:r>
        <w:rPr>
          <w:rFonts w:ascii="Times New Roman" w:hAnsi="Times New Roman" w:cs="Times New Roman"/>
          <w:sz w:val="28"/>
        </w:rPr>
        <w:t xml:space="preserve">1.09.2019 по 31.05.2020 </w:t>
      </w:r>
      <w:r w:rsidR="000B17F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68,24</w:t>
      </w:r>
      <w:r w:rsidR="000B17FD">
        <w:rPr>
          <w:rFonts w:ascii="Times New Roman" w:hAnsi="Times New Roman" w:cs="Times New Roman"/>
          <w:sz w:val="28"/>
        </w:rPr>
        <w:t>*9=</w:t>
      </w:r>
      <w:r w:rsidRPr="000B17FD" w:rsidR="000B17FD">
        <w:rPr>
          <w:rFonts w:ascii="Times New Roman" w:hAnsi="Times New Roman" w:cs="Times New Roman"/>
          <w:sz w:val="28"/>
        </w:rPr>
        <w:t>614,16</w:t>
      </w:r>
    </w:p>
    <w:p w:rsidR="00761DFB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т.о. </w:t>
      </w:r>
      <w:r w:rsidR="0046389B">
        <w:rPr>
          <w:rFonts w:ascii="Times New Roman" w:hAnsi="Times New Roman" w:cs="Times New Roman"/>
          <w:sz w:val="28"/>
        </w:rPr>
        <w:t>сентябрь 2019 – май 2020 сумма 816,50-68,24=</w:t>
      </w:r>
      <w:r w:rsidRPr="0046389B" w:rsidR="0046389B">
        <w:rPr>
          <w:rFonts w:ascii="Times New Roman" w:hAnsi="Times New Roman" w:cs="Times New Roman"/>
          <w:sz w:val="28"/>
        </w:rPr>
        <w:t>748,26</w:t>
      </w:r>
      <w:r w:rsidR="0046389B">
        <w:rPr>
          <w:rFonts w:ascii="Times New Roman" w:hAnsi="Times New Roman" w:cs="Times New Roman"/>
          <w:sz w:val="28"/>
        </w:rPr>
        <w:t xml:space="preserve"> (как остальные месяцы далее)</w:t>
      </w:r>
    </w:p>
    <w:p w:rsidR="0046389B" w:rsidP="00327BC3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задолженность </w:t>
      </w:r>
      <w:r w:rsidR="00327BC3">
        <w:rPr>
          <w:rFonts w:ascii="Times New Roman" w:hAnsi="Times New Roman" w:cs="Times New Roman"/>
          <w:sz w:val="28"/>
        </w:rPr>
        <w:t xml:space="preserve">с </w:t>
      </w:r>
      <w:r w:rsidRPr="00327BC3" w:rsidR="00327BC3">
        <w:rPr>
          <w:rFonts w:ascii="Times New Roman" w:hAnsi="Times New Roman" w:cs="Times New Roman"/>
          <w:sz w:val="28"/>
        </w:rPr>
        <w:t>29.08.2019 –</w:t>
      </w:r>
      <w:r w:rsidR="00327BC3">
        <w:rPr>
          <w:rFonts w:ascii="Times New Roman" w:hAnsi="Times New Roman" w:cs="Times New Roman"/>
          <w:sz w:val="28"/>
        </w:rPr>
        <w:t xml:space="preserve"> 01.03.2021</w:t>
      </w:r>
    </w:p>
    <w:p w:rsidR="00327BC3" w:rsidP="00327BC3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748,26*</w:t>
      </w:r>
      <w:r w:rsidR="00B26A92">
        <w:rPr>
          <w:rFonts w:ascii="Times New Roman" w:hAnsi="Times New Roman" w:cs="Times New Roman"/>
          <w:sz w:val="28"/>
        </w:rPr>
        <w:t>18=</w:t>
      </w:r>
      <w:r w:rsidRPr="00B26A92" w:rsidR="00B26A92">
        <w:rPr>
          <w:rFonts w:ascii="Times New Roman" w:hAnsi="Times New Roman" w:cs="Times New Roman"/>
          <w:sz w:val="28"/>
        </w:rPr>
        <w:t>13468,68</w:t>
      </w:r>
    </w:p>
    <w:p w:rsidR="0033081A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518E6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="00E8238C">
        <w:rPr>
          <w:rFonts w:ascii="Times New Roman" w:hAnsi="Times New Roman" w:cs="Times New Roman"/>
          <w:sz w:val="28"/>
        </w:rPr>
        <w:t>исчисление начинается с 1</w:t>
      </w:r>
      <w:r w:rsidR="0069277F">
        <w:rPr>
          <w:rFonts w:ascii="Times New Roman" w:hAnsi="Times New Roman" w:cs="Times New Roman"/>
          <w:sz w:val="28"/>
        </w:rPr>
        <w:t>1</w:t>
      </w:r>
      <w:r w:rsidR="00E8238C">
        <w:rPr>
          <w:rFonts w:ascii="Times New Roman" w:hAnsi="Times New Roman" w:cs="Times New Roman"/>
          <w:sz w:val="28"/>
        </w:rPr>
        <w:t xml:space="preserve"> числа </w:t>
      </w:r>
      <w:r w:rsidR="000A2464">
        <w:rPr>
          <w:rFonts w:ascii="Times New Roman" w:hAnsi="Times New Roman" w:cs="Times New Roman"/>
          <w:sz w:val="28"/>
        </w:rPr>
        <w:t>следующего месяца после то</w:t>
      </w:r>
      <w:r w:rsidR="00B8404D">
        <w:rPr>
          <w:rFonts w:ascii="Times New Roman" w:hAnsi="Times New Roman" w:cs="Times New Roman"/>
          <w:sz w:val="28"/>
        </w:rPr>
        <w:t xml:space="preserve">го, который уже входит в оплату, сайт </w:t>
      </w:r>
      <w:r w:rsidRPr="00B8404D" w:rsidR="00B8404D">
        <w:rPr>
          <w:rFonts w:ascii="Times New Roman" w:hAnsi="Times New Roman" w:cs="Times New Roman"/>
          <w:sz w:val="28"/>
        </w:rPr>
        <w:t>http://upravdolg.ru/calc?auth=1</w:t>
      </w:r>
      <w:r w:rsidR="00B8404D">
        <w:rPr>
          <w:rFonts w:ascii="Times New Roman" w:hAnsi="Times New Roman" w:cs="Times New Roman"/>
          <w:sz w:val="28"/>
        </w:rPr>
        <w:t xml:space="preserve"> учитывает мораторий</w:t>
      </w:r>
    </w:p>
    <w:tbl>
      <w:tblPr>
        <w:tblW w:w="10491" w:type="dxa"/>
        <w:tblInd w:w="-885" w:type="dxa"/>
        <w:tblLook w:val="04A0"/>
      </w:tblPr>
      <w:tblGrid>
        <w:gridCol w:w="1011"/>
        <w:gridCol w:w="1136"/>
        <w:gridCol w:w="973"/>
        <w:gridCol w:w="1559"/>
        <w:gridCol w:w="1417"/>
        <w:gridCol w:w="1134"/>
        <w:gridCol w:w="1418"/>
        <w:gridCol w:w="764"/>
        <w:gridCol w:w="1079"/>
      </w:tblGrid>
      <w:tr w:rsidTr="00B45A0E">
        <w:tblPrEx>
          <w:tblW w:w="10491" w:type="dxa"/>
          <w:tblInd w:w="-885" w:type="dxa"/>
          <w:tblLook w:val="04A0"/>
        </w:tblPrEx>
        <w:trPr>
          <w:trHeight w:val="799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Месяц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Начислено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Долг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Период просрочки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Ставка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Доля ставки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Пени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799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дней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AAAA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сен.2019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09.11.2019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15.12.2019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5,84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08.01.2020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3,74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11,51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19,34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окт.2019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15.12.2019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0,81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08.02.2020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8,57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41,73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ноя.2019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15.12.2019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4,83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4,34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9,32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дек.2019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13.01.2020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8,08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янв.2020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11.03.2020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3,74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10.05.2020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фев.2020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08.06.2020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мар.2020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26.04.2020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6.00%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12.05.2020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апр.2020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09.08.2020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май.2020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21.06.2020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22.06.2020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08.09.2020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июн.2020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4.50%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11.08.2020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10.10.2020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июл.2020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08.11.2020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авг.2020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10.10.2020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14,43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сен.2020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0,95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12,23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окт.2020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10.12.2020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4,13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4,89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ноя.2020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6,36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дек.2020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09.02.2021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0E" w:rsidRPr="00057998" w:rsidP="00057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10.02.2021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1/300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2,01</w:t>
            </w:r>
          </w:p>
        </w:tc>
      </w:tr>
      <w:tr w:rsidTr="00B45A0E">
        <w:tblPrEx>
          <w:tblW w:w="10491" w:type="dxa"/>
          <w:tblInd w:w="-885" w:type="dxa"/>
          <w:tblLook w:val="04A0"/>
        </w:tblPrEx>
        <w:trPr>
          <w:trHeight w:val="255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янв.2021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748,26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11.02.2021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4.25%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0E" w:rsidRPr="00057998" w:rsidP="000579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799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</w:tbl>
    <w:p w:rsidR="00B8404D" w:rsidRPr="00F97050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  <w:highlight w:val="green"/>
        </w:rPr>
      </w:pPr>
      <w:r w:rsidRPr="00F97050">
        <w:rPr>
          <w:rFonts w:ascii="Times New Roman" w:hAnsi="Times New Roman" w:cs="Times New Roman"/>
          <w:sz w:val="28"/>
        </w:rPr>
        <w:t>Сумма пеней по всем задолженностям: 311.15 руб.</w:t>
      </w:r>
    </w:p>
    <w:p w:rsidR="00F22A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5058E7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взыскать </w:t>
      </w:r>
      <w:r w:rsidRPr="00F22A83" w:rsidR="00F22A83">
        <w:rPr>
          <w:rFonts w:ascii="Times New Roman" w:hAnsi="Times New Roman" w:cs="Times New Roman"/>
          <w:sz w:val="28"/>
        </w:rPr>
        <w:t>13468,68</w:t>
      </w:r>
      <w:r w:rsidR="00F22A83">
        <w:rPr>
          <w:rFonts w:ascii="Times New Roman" w:hAnsi="Times New Roman" w:cs="Times New Roman"/>
          <w:sz w:val="28"/>
        </w:rPr>
        <w:t>+</w:t>
      </w:r>
      <w:r w:rsidRPr="00F22A83" w:rsidR="00F22A83">
        <w:rPr>
          <w:rFonts w:ascii="Times New Roman" w:hAnsi="Times New Roman" w:cs="Times New Roman"/>
          <w:sz w:val="28"/>
        </w:rPr>
        <w:t>311.15</w:t>
      </w:r>
      <w:r w:rsidR="00F22A83">
        <w:rPr>
          <w:rFonts w:ascii="Times New Roman" w:hAnsi="Times New Roman" w:cs="Times New Roman"/>
          <w:sz w:val="28"/>
        </w:rPr>
        <w:t>=</w:t>
      </w:r>
      <w:r w:rsidRPr="00F22A83" w:rsidR="00F22A83">
        <w:rPr>
          <w:rFonts w:ascii="Times New Roman" w:hAnsi="Times New Roman" w:cs="Times New Roman"/>
          <w:sz w:val="28"/>
        </w:rPr>
        <w:t>13 779,83</w:t>
      </w:r>
    </w:p>
    <w:p w:rsidR="00F22A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F22A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2F12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32464F">
        <w:rPr>
          <w:rFonts w:ascii="Times New Roman" w:hAnsi="Times New Roman" w:cs="Times New Roman"/>
          <w:sz w:val="28"/>
        </w:rPr>
        <w:t>госпошлина</w:t>
      </w:r>
      <w:r w:rsidR="00763796">
        <w:rPr>
          <w:rFonts w:ascii="Times New Roman" w:hAnsi="Times New Roman" w:cs="Times New Roman"/>
          <w:sz w:val="28"/>
        </w:rPr>
        <w:t xml:space="preserve"> </w:t>
      </w:r>
    </w:p>
    <w:p w:rsidR="00602E45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взыскали </w:t>
      </w:r>
      <w:r w:rsidR="00763796">
        <w:rPr>
          <w:rFonts w:ascii="Times New Roman" w:hAnsi="Times New Roman" w:cs="Times New Roman"/>
          <w:sz w:val="28"/>
        </w:rPr>
        <w:t xml:space="preserve">всего </w:t>
      </w:r>
      <w:r w:rsidR="001E2260">
        <w:rPr>
          <w:rFonts w:ascii="Times New Roman" w:hAnsi="Times New Roman" w:cs="Times New Roman"/>
          <w:sz w:val="28"/>
        </w:rPr>
        <w:t>13</w:t>
      </w:r>
      <w:r w:rsidRPr="00EB3FE3" w:rsidR="00EB3FE3">
        <w:rPr>
          <w:rFonts w:ascii="Times New Roman" w:hAnsi="Times New Roman" w:cs="Times New Roman"/>
          <w:sz w:val="28"/>
        </w:rPr>
        <w:t>779,83</w:t>
      </w:r>
    </w:p>
    <w:p w:rsidR="00F06FFE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просили </w:t>
      </w:r>
      <w:r w:rsidR="002F1283">
        <w:rPr>
          <w:rFonts w:ascii="Times New Roman" w:hAnsi="Times New Roman" w:cs="Times New Roman"/>
          <w:sz w:val="28"/>
        </w:rPr>
        <w:t xml:space="preserve">– сложила в ручную </w:t>
      </w:r>
      <w:r w:rsidR="00EB3FE3">
        <w:rPr>
          <w:rFonts w:ascii="Times New Roman" w:hAnsi="Times New Roman" w:cs="Times New Roman"/>
          <w:sz w:val="28"/>
        </w:rPr>
        <w:t>26</w:t>
      </w:r>
      <w:r w:rsidRPr="00EB3FE3" w:rsidR="00EB3FE3">
        <w:rPr>
          <w:rFonts w:ascii="Times New Roman" w:hAnsi="Times New Roman" w:cs="Times New Roman"/>
          <w:sz w:val="28"/>
        </w:rPr>
        <w:t>062,09</w:t>
      </w:r>
    </w:p>
    <w:p w:rsidR="00EB3FE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г/</w:t>
      </w: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от суммы иска </w:t>
      </w:r>
      <w:r w:rsidRPr="00EB3FE3">
        <w:rPr>
          <w:rFonts w:ascii="Times New Roman" w:hAnsi="Times New Roman" w:cs="Times New Roman"/>
          <w:sz w:val="28"/>
        </w:rPr>
        <w:t>981</w:t>
      </w:r>
      <w:r>
        <w:rPr>
          <w:rFonts w:ascii="Times New Roman" w:hAnsi="Times New Roman" w:cs="Times New Roman"/>
          <w:sz w:val="28"/>
        </w:rPr>
        <w:t>,86</w:t>
      </w:r>
    </w:p>
    <w:p w:rsidR="00EB3FE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EB3FE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 г/</w:t>
      </w: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</w:t>
      </w:r>
      <w:r w:rsidRPr="001E2260">
        <w:rPr>
          <w:rFonts w:ascii="Times New Roman" w:hAnsi="Times New Roman" w:cs="Times New Roman"/>
          <w:sz w:val="28"/>
        </w:rPr>
        <w:t>519.11</w:t>
      </w:r>
    </w:p>
    <w:p w:rsidR="00EB3FE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2F1283" w:rsidP="00602E4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госпошлина должна была быть </w:t>
      </w:r>
      <w:r w:rsidR="00450853">
        <w:rPr>
          <w:rFonts w:ascii="Times New Roman" w:hAnsi="Times New Roman" w:cs="Times New Roman"/>
          <w:sz w:val="28"/>
        </w:rPr>
        <w:t>400</w:t>
      </w:r>
      <w:r w:rsidR="00E529C7">
        <w:rPr>
          <w:rFonts w:ascii="Times New Roman" w:hAnsi="Times New Roman" w:cs="Times New Roman"/>
          <w:sz w:val="28"/>
        </w:rPr>
        <w:t xml:space="preserve"> минималка</w:t>
      </w:r>
    </w:p>
    <w:p w:rsidR="00845AD5" w:rsidP="00845AD5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минимальной госпошлины ничего не отнимаем и пропорцию не считаем</w:t>
      </w:r>
    </w:p>
    <w:p w:rsidR="003A7C8D" w:rsidRPr="00845AD5" w:rsidP="00845AD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A51C80" w:rsidP="000A4ACB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B21E68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BF14FF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473F74">
      <w:pPr>
        <w:pStyle w:val="NoSpacing"/>
        <w:jc w:val="both"/>
        <w:rPr>
          <w:rFonts w:ascii="Times New Roman" w:hAnsi="Times New Roman" w:cs="Times New Roman"/>
          <w:sz w:val="28"/>
        </w:rPr>
      </w:pPr>
    </w:p>
    <w:sectPr w:rsidSect="007B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E1290"/>
    <w:rsid w:val="00143B65"/>
    <w:rsid w:val="00155AB9"/>
    <w:rsid w:val="00162F32"/>
    <w:rsid w:val="0016796D"/>
    <w:rsid w:val="00187EE0"/>
    <w:rsid w:val="001911D8"/>
    <w:rsid w:val="001C0C92"/>
    <w:rsid w:val="001E2260"/>
    <w:rsid w:val="001F4BB5"/>
    <w:rsid w:val="001F7B61"/>
    <w:rsid w:val="002131FE"/>
    <w:rsid w:val="00213209"/>
    <w:rsid w:val="0024255F"/>
    <w:rsid w:val="0025538F"/>
    <w:rsid w:val="00257576"/>
    <w:rsid w:val="0026225C"/>
    <w:rsid w:val="00273C0A"/>
    <w:rsid w:val="00282FB4"/>
    <w:rsid w:val="002A39B9"/>
    <w:rsid w:val="002A73E0"/>
    <w:rsid w:val="002C232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677CB"/>
    <w:rsid w:val="00371881"/>
    <w:rsid w:val="00375C58"/>
    <w:rsid w:val="0038631A"/>
    <w:rsid w:val="003A7C8D"/>
    <w:rsid w:val="003B249E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6389B"/>
    <w:rsid w:val="004677A8"/>
    <w:rsid w:val="00471859"/>
    <w:rsid w:val="00473F74"/>
    <w:rsid w:val="004748D5"/>
    <w:rsid w:val="00492355"/>
    <w:rsid w:val="00495161"/>
    <w:rsid w:val="00497E2B"/>
    <w:rsid w:val="004A49BF"/>
    <w:rsid w:val="004C797A"/>
    <w:rsid w:val="004D04D8"/>
    <w:rsid w:val="004D2FE3"/>
    <w:rsid w:val="004E6045"/>
    <w:rsid w:val="005058E7"/>
    <w:rsid w:val="005201E8"/>
    <w:rsid w:val="00556876"/>
    <w:rsid w:val="00571282"/>
    <w:rsid w:val="005815FF"/>
    <w:rsid w:val="005845B6"/>
    <w:rsid w:val="0059716C"/>
    <w:rsid w:val="005C41A7"/>
    <w:rsid w:val="005D082B"/>
    <w:rsid w:val="00602E45"/>
    <w:rsid w:val="0061513C"/>
    <w:rsid w:val="006223A2"/>
    <w:rsid w:val="00645A3C"/>
    <w:rsid w:val="00654942"/>
    <w:rsid w:val="0065642A"/>
    <w:rsid w:val="0066351E"/>
    <w:rsid w:val="0066712C"/>
    <w:rsid w:val="00684C5A"/>
    <w:rsid w:val="0069277F"/>
    <w:rsid w:val="006A2798"/>
    <w:rsid w:val="006B2301"/>
    <w:rsid w:val="006D1058"/>
    <w:rsid w:val="006D18BB"/>
    <w:rsid w:val="006E098E"/>
    <w:rsid w:val="007078B3"/>
    <w:rsid w:val="00756349"/>
    <w:rsid w:val="00756C31"/>
    <w:rsid w:val="00761DFB"/>
    <w:rsid w:val="00763796"/>
    <w:rsid w:val="00763C61"/>
    <w:rsid w:val="00785762"/>
    <w:rsid w:val="00791957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2981"/>
    <w:rsid w:val="00825294"/>
    <w:rsid w:val="00845AD5"/>
    <w:rsid w:val="0084710D"/>
    <w:rsid w:val="0087606B"/>
    <w:rsid w:val="008B6518"/>
    <w:rsid w:val="008B7EAA"/>
    <w:rsid w:val="008C55FA"/>
    <w:rsid w:val="00922FDB"/>
    <w:rsid w:val="00930FE5"/>
    <w:rsid w:val="0093263C"/>
    <w:rsid w:val="00940FF4"/>
    <w:rsid w:val="00941EBF"/>
    <w:rsid w:val="009478C9"/>
    <w:rsid w:val="00971387"/>
    <w:rsid w:val="0097142C"/>
    <w:rsid w:val="00971B1B"/>
    <w:rsid w:val="009870D5"/>
    <w:rsid w:val="00997F97"/>
    <w:rsid w:val="009B3824"/>
    <w:rsid w:val="009C6524"/>
    <w:rsid w:val="00A35684"/>
    <w:rsid w:val="00A37CB1"/>
    <w:rsid w:val="00A51C80"/>
    <w:rsid w:val="00A56AE0"/>
    <w:rsid w:val="00A65E8D"/>
    <w:rsid w:val="00A73FD9"/>
    <w:rsid w:val="00A81EFC"/>
    <w:rsid w:val="00A85822"/>
    <w:rsid w:val="00A95C23"/>
    <w:rsid w:val="00A95E58"/>
    <w:rsid w:val="00AE4E2B"/>
    <w:rsid w:val="00AE5502"/>
    <w:rsid w:val="00AF2137"/>
    <w:rsid w:val="00AF6A4F"/>
    <w:rsid w:val="00B10992"/>
    <w:rsid w:val="00B21E68"/>
    <w:rsid w:val="00B26A92"/>
    <w:rsid w:val="00B27E16"/>
    <w:rsid w:val="00B426FA"/>
    <w:rsid w:val="00B45A0E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D6B42"/>
    <w:rsid w:val="00BE62E0"/>
    <w:rsid w:val="00BF14FF"/>
    <w:rsid w:val="00C0307B"/>
    <w:rsid w:val="00C215CB"/>
    <w:rsid w:val="00C25DEC"/>
    <w:rsid w:val="00C66AE8"/>
    <w:rsid w:val="00C71B32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79BC"/>
    <w:rsid w:val="00D901C3"/>
    <w:rsid w:val="00D9310F"/>
    <w:rsid w:val="00DD3AD2"/>
    <w:rsid w:val="00DF3918"/>
    <w:rsid w:val="00DF58E8"/>
    <w:rsid w:val="00E04AFA"/>
    <w:rsid w:val="00E33526"/>
    <w:rsid w:val="00E34399"/>
    <w:rsid w:val="00E529C7"/>
    <w:rsid w:val="00E5511E"/>
    <w:rsid w:val="00E570D7"/>
    <w:rsid w:val="00E736CE"/>
    <w:rsid w:val="00E81CEA"/>
    <w:rsid w:val="00E8238C"/>
    <w:rsid w:val="00E94438"/>
    <w:rsid w:val="00EB3FE3"/>
    <w:rsid w:val="00EB5224"/>
    <w:rsid w:val="00ED298B"/>
    <w:rsid w:val="00ED4B58"/>
    <w:rsid w:val="00ED5C89"/>
    <w:rsid w:val="00F06FFE"/>
    <w:rsid w:val="00F10380"/>
    <w:rsid w:val="00F22782"/>
    <w:rsid w:val="00F22A83"/>
    <w:rsid w:val="00F25C75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2372-B23A-43D6-BAF2-34494E19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