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42A78" w:rsidP="00142A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>Дело № 2-6</w:t>
      </w:r>
      <w:r w:rsidRPr="00142A78" w:rsidR="00785762">
        <w:rPr>
          <w:rFonts w:ascii="Times New Roman" w:hAnsi="Times New Roman" w:cs="Times New Roman"/>
          <w:sz w:val="28"/>
          <w:szCs w:val="28"/>
        </w:rPr>
        <w:t>1</w:t>
      </w:r>
      <w:r w:rsidRPr="00142A78">
        <w:rPr>
          <w:rFonts w:ascii="Times New Roman" w:hAnsi="Times New Roman" w:cs="Times New Roman"/>
          <w:sz w:val="28"/>
          <w:szCs w:val="28"/>
        </w:rPr>
        <w:t>-</w:t>
      </w:r>
      <w:r w:rsidRPr="00142A78" w:rsidR="000F00E0">
        <w:rPr>
          <w:rFonts w:ascii="Times New Roman" w:hAnsi="Times New Roman" w:cs="Times New Roman"/>
          <w:sz w:val="28"/>
          <w:szCs w:val="28"/>
        </w:rPr>
        <w:t>615</w:t>
      </w:r>
      <w:r w:rsidRPr="00142A78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142A78" w:rsidP="00142A7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142A78" w:rsidP="00142A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142A78" w:rsidP="00142A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142A78" w:rsidP="00142A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A7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142A78" w:rsidP="00142A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142A78" w:rsidP="00142A7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>17 июля</w:t>
      </w:r>
      <w:r w:rsidRPr="00142A78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142A78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="00142A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Pr="00142A78">
        <w:rPr>
          <w:rFonts w:ascii="Times New Roman" w:hAnsi="Times New Roman" w:cs="Times New Roman"/>
          <w:sz w:val="28"/>
          <w:szCs w:val="28"/>
        </w:rPr>
        <w:tab/>
        <w:t xml:space="preserve">     пгт. Ленино</w:t>
      </w:r>
    </w:p>
    <w:p w:rsidR="00FB390C" w:rsidRPr="00142A78" w:rsidP="00142A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142A78" w:rsidP="00142A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(Ленинский муниципальный район) Республики Крым </w:t>
      </w:r>
      <w:r w:rsidRPr="00142A78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061337" w:rsidRPr="00142A78" w:rsidP="00142A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 xml:space="preserve">при </w:t>
      </w:r>
      <w:r w:rsidRPr="00142A78" w:rsidR="007E273B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142A78" w:rsidR="00CB28C2">
        <w:rPr>
          <w:rFonts w:ascii="Times New Roman" w:hAnsi="Times New Roman" w:cs="Times New Roman"/>
          <w:sz w:val="28"/>
          <w:szCs w:val="28"/>
        </w:rPr>
        <w:t>,</w:t>
      </w:r>
    </w:p>
    <w:p w:rsidR="000F00E0" w:rsidRPr="00142A78" w:rsidP="00142A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>с участием истца Довженко Н.И., ее представителя Котова Д.Е.</w:t>
      </w:r>
      <w:r w:rsidRPr="00142A78" w:rsidR="00CB28C2">
        <w:rPr>
          <w:rFonts w:ascii="Times New Roman" w:hAnsi="Times New Roman" w:cs="Times New Roman"/>
          <w:sz w:val="28"/>
          <w:szCs w:val="28"/>
        </w:rPr>
        <w:t>,</w:t>
      </w:r>
    </w:p>
    <w:p w:rsidR="000F00E0" w:rsidRPr="00142A78" w:rsidP="00142A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>ответчика Паламарчук Н.А.,</w:t>
      </w:r>
    </w:p>
    <w:p w:rsidR="00464C07" w:rsidRPr="00142A78" w:rsidP="00142A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>р</w:t>
      </w:r>
      <w:r w:rsidRPr="00142A78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142A78" w:rsidR="000F00E0">
        <w:rPr>
          <w:rFonts w:ascii="Times New Roman" w:hAnsi="Times New Roman" w:cs="Times New Roman"/>
          <w:sz w:val="28"/>
          <w:szCs w:val="28"/>
        </w:rPr>
        <w:t xml:space="preserve">Довженко Надежды Ивановны </w:t>
      </w:r>
      <w:r w:rsidRPr="00142A78" w:rsidR="00F805A3">
        <w:rPr>
          <w:rFonts w:ascii="Times New Roman" w:hAnsi="Times New Roman" w:cs="Times New Roman"/>
          <w:sz w:val="28"/>
          <w:szCs w:val="28"/>
        </w:rPr>
        <w:t xml:space="preserve">к </w:t>
      </w:r>
      <w:r w:rsidRPr="00142A78" w:rsidR="000F00E0">
        <w:rPr>
          <w:rFonts w:ascii="Times New Roman" w:hAnsi="Times New Roman" w:cs="Times New Roman"/>
          <w:sz w:val="28"/>
          <w:szCs w:val="28"/>
        </w:rPr>
        <w:t>Паламарчук Нел</w:t>
      </w:r>
      <w:r w:rsidRPr="00142A78" w:rsidR="004C7FE0">
        <w:rPr>
          <w:rFonts w:ascii="Times New Roman" w:hAnsi="Times New Roman" w:cs="Times New Roman"/>
          <w:sz w:val="28"/>
          <w:szCs w:val="28"/>
        </w:rPr>
        <w:t>е</w:t>
      </w:r>
      <w:r w:rsidRPr="00142A78" w:rsidR="000F00E0">
        <w:rPr>
          <w:rFonts w:ascii="Times New Roman" w:hAnsi="Times New Roman" w:cs="Times New Roman"/>
          <w:sz w:val="28"/>
          <w:szCs w:val="28"/>
        </w:rPr>
        <w:t xml:space="preserve"> Алексеевне, Муниципальному бюджетному общеобразовательному учреждению «Средняя общеобразовательная школа № 2 пгт. Ленино</w:t>
      </w:r>
      <w:r w:rsidRPr="00142A78" w:rsidR="009A1317">
        <w:rPr>
          <w:rFonts w:ascii="Times New Roman" w:hAnsi="Times New Roman" w:cs="Times New Roman"/>
          <w:sz w:val="28"/>
          <w:szCs w:val="28"/>
        </w:rPr>
        <w:t>»</w:t>
      </w:r>
      <w:r w:rsidRPr="00142A78" w:rsidR="00B9780D">
        <w:rPr>
          <w:rFonts w:ascii="Times New Roman" w:hAnsi="Times New Roman" w:cs="Times New Roman"/>
          <w:sz w:val="28"/>
          <w:szCs w:val="28"/>
        </w:rPr>
        <w:t>, треть</w:t>
      </w:r>
      <w:r w:rsidRPr="00142A78" w:rsidR="000F00E0">
        <w:rPr>
          <w:rFonts w:ascii="Times New Roman" w:hAnsi="Times New Roman" w:cs="Times New Roman"/>
          <w:sz w:val="28"/>
          <w:szCs w:val="28"/>
        </w:rPr>
        <w:t>е</w:t>
      </w:r>
      <w:r w:rsidRPr="00142A78"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Pr="00142A78" w:rsidR="000F00E0">
        <w:rPr>
          <w:rFonts w:ascii="Times New Roman" w:hAnsi="Times New Roman" w:cs="Times New Roman"/>
          <w:sz w:val="28"/>
          <w:szCs w:val="28"/>
        </w:rPr>
        <w:t>о</w:t>
      </w:r>
      <w:r w:rsidRPr="00142A78"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Pr="00142A78" w:rsidR="002F0BC3">
        <w:rPr>
          <w:rFonts w:ascii="Times New Roman" w:hAnsi="Times New Roman" w:cs="Times New Roman"/>
          <w:sz w:val="28"/>
          <w:szCs w:val="28"/>
        </w:rPr>
        <w:t>и</w:t>
      </w:r>
      <w:r w:rsidRPr="00142A78"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Pr="00142A78" w:rsidR="000F00E0">
        <w:rPr>
          <w:rFonts w:ascii="Times New Roman" w:hAnsi="Times New Roman" w:cs="Times New Roman"/>
          <w:sz w:val="28"/>
          <w:szCs w:val="28"/>
        </w:rPr>
        <w:t>Управление образования администрации Ленинского района Республики Крым</w:t>
      </w:r>
      <w:r w:rsidRPr="00142A78" w:rsidR="00590525">
        <w:rPr>
          <w:rFonts w:ascii="Times New Roman" w:hAnsi="Times New Roman" w:cs="Times New Roman"/>
          <w:sz w:val="28"/>
          <w:szCs w:val="28"/>
        </w:rPr>
        <w:t xml:space="preserve">, </w:t>
      </w:r>
      <w:r w:rsidRPr="00142A78" w:rsidR="00F805A3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142A78" w:rsidR="00FB5FC1">
        <w:rPr>
          <w:rFonts w:ascii="Times New Roman" w:hAnsi="Times New Roman" w:cs="Times New Roman"/>
          <w:sz w:val="28"/>
          <w:szCs w:val="28"/>
        </w:rPr>
        <w:t>расходов на оплату услуг представителя</w:t>
      </w:r>
      <w:r w:rsidRPr="00142A78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142A78" w:rsidP="00142A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142A7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42A78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142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42A78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142A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A78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142A78" w:rsidP="00142A78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142A78" w:rsidP="00142A7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A7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142A78" w:rsidP="00142A7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317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>Исковые требования Довженко Надежды Ивановны к Паламарчук Нел</w:t>
      </w:r>
      <w:r w:rsidRPr="00142A78" w:rsidR="00600BEA">
        <w:rPr>
          <w:sz w:val="28"/>
          <w:szCs w:val="28"/>
        </w:rPr>
        <w:t>е</w:t>
      </w:r>
      <w:r w:rsidRPr="00142A78">
        <w:rPr>
          <w:sz w:val="28"/>
          <w:szCs w:val="28"/>
        </w:rPr>
        <w:t xml:space="preserve"> Алексеевне, Муниципальному бюджетному общеобразовательному учреждению «Средняя общеобразовательная школа № 2 </w:t>
      </w:r>
      <w:r w:rsidRPr="00142A78">
        <w:rPr>
          <w:sz w:val="28"/>
          <w:szCs w:val="28"/>
        </w:rPr>
        <w:t>пгт. Ленино» о взыскании расходов на оплату услуг представителя – удовлетворить частично.</w:t>
      </w:r>
    </w:p>
    <w:p w:rsidR="009A1317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 xml:space="preserve">Взыскать с ответчика Муниципального бюджетного общеобразовательного учреждения «Средняя общеобразовательная школа № 2 пгт. Ленино» в пользу Довженко Надежды Ивановны </w:t>
      </w:r>
      <w:r w:rsidRPr="00142A78">
        <w:rPr>
          <w:sz w:val="28"/>
          <w:szCs w:val="28"/>
        </w:rPr>
        <w:t xml:space="preserve">расходы на оплату услуг представителя в размере </w:t>
      </w:r>
      <w:r w:rsidRPr="00142A78" w:rsidR="00600BEA">
        <w:rPr>
          <w:sz w:val="28"/>
          <w:szCs w:val="28"/>
        </w:rPr>
        <w:t xml:space="preserve">12 500 </w:t>
      </w:r>
      <w:r w:rsidRPr="00142A78">
        <w:rPr>
          <w:sz w:val="28"/>
          <w:szCs w:val="28"/>
        </w:rPr>
        <w:t>(</w:t>
      </w:r>
      <w:r w:rsidRPr="00142A78" w:rsidR="0069354F">
        <w:rPr>
          <w:sz w:val="28"/>
          <w:szCs w:val="28"/>
        </w:rPr>
        <w:t>двенадцать тысяч пятьсот</w:t>
      </w:r>
      <w:r w:rsidRPr="00142A78">
        <w:rPr>
          <w:sz w:val="28"/>
          <w:szCs w:val="28"/>
        </w:rPr>
        <w:t>) рублей.</w:t>
      </w:r>
    </w:p>
    <w:p w:rsidR="009A1317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 xml:space="preserve">Взыскать с ответчика </w:t>
      </w:r>
      <w:r w:rsidRPr="00142A78" w:rsidR="00682F30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2 пгт. Ленино» в пользу Довженко Надежды Ивановны </w:t>
      </w:r>
      <w:r w:rsidRPr="00142A78">
        <w:rPr>
          <w:sz w:val="28"/>
          <w:szCs w:val="28"/>
        </w:rPr>
        <w:t xml:space="preserve">государственную пошлину в размере </w:t>
      </w:r>
      <w:r w:rsidRPr="00142A78" w:rsidR="0069354F">
        <w:rPr>
          <w:sz w:val="28"/>
          <w:szCs w:val="28"/>
        </w:rPr>
        <w:t>475</w:t>
      </w:r>
      <w:r w:rsidRPr="00142A78">
        <w:rPr>
          <w:sz w:val="28"/>
          <w:szCs w:val="28"/>
        </w:rPr>
        <w:t xml:space="preserve"> (</w:t>
      </w:r>
      <w:r w:rsidRPr="00142A78" w:rsidR="0069354F">
        <w:rPr>
          <w:sz w:val="28"/>
          <w:szCs w:val="28"/>
        </w:rPr>
        <w:t>четыреста семьдесят пять)</w:t>
      </w:r>
      <w:r w:rsidRPr="00142A78">
        <w:rPr>
          <w:sz w:val="28"/>
          <w:szCs w:val="28"/>
        </w:rPr>
        <w:t xml:space="preserve"> рубл</w:t>
      </w:r>
      <w:r w:rsidRPr="00142A78" w:rsidR="00682F30">
        <w:rPr>
          <w:sz w:val="28"/>
          <w:szCs w:val="28"/>
        </w:rPr>
        <w:t>ей</w:t>
      </w:r>
      <w:r w:rsidRPr="00142A78">
        <w:rPr>
          <w:sz w:val="28"/>
          <w:szCs w:val="28"/>
        </w:rPr>
        <w:t xml:space="preserve">. </w:t>
      </w:r>
    </w:p>
    <w:p w:rsidR="00142A78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 xml:space="preserve">Освободить ответчика </w:t>
      </w:r>
      <w:r w:rsidRPr="00142A78" w:rsidR="00682F30">
        <w:rPr>
          <w:sz w:val="28"/>
          <w:szCs w:val="28"/>
        </w:rPr>
        <w:t xml:space="preserve">Паламарчук Нелю Алексеевну </w:t>
      </w:r>
      <w:r w:rsidRPr="00142A78">
        <w:rPr>
          <w:sz w:val="28"/>
          <w:szCs w:val="28"/>
        </w:rPr>
        <w:t xml:space="preserve">от обязанности возмещать вред. </w:t>
      </w:r>
    </w:p>
    <w:p w:rsidR="009A1317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 xml:space="preserve">Разъяснить ответчику </w:t>
      </w:r>
      <w:r w:rsidRPr="00142A78" w:rsidR="000D349E">
        <w:rPr>
          <w:sz w:val="28"/>
          <w:szCs w:val="28"/>
        </w:rPr>
        <w:t xml:space="preserve">Муниципальному бюджетному общеобразовательному учреждению «Средняя общеобразовательная школа № 2 пгт. Ленино» </w:t>
      </w:r>
      <w:r w:rsidRPr="00142A78">
        <w:rPr>
          <w:sz w:val="28"/>
          <w:szCs w:val="28"/>
        </w:rPr>
        <w:t xml:space="preserve">возможность предъявить регрессное требование к </w:t>
      </w:r>
      <w:r w:rsidRPr="00142A78" w:rsidR="00AB32E5">
        <w:rPr>
          <w:sz w:val="28"/>
          <w:szCs w:val="28"/>
        </w:rPr>
        <w:t xml:space="preserve">Паламарчук </w:t>
      </w:r>
      <w:r w:rsidRPr="00142A78" w:rsidR="000D349E">
        <w:rPr>
          <w:sz w:val="28"/>
          <w:szCs w:val="28"/>
        </w:rPr>
        <w:t xml:space="preserve">Неле Алексеевне </w:t>
      </w:r>
      <w:r w:rsidRPr="00142A78">
        <w:rPr>
          <w:sz w:val="28"/>
          <w:szCs w:val="28"/>
        </w:rPr>
        <w:t xml:space="preserve">о возмещении ущерба. </w:t>
      </w:r>
    </w:p>
    <w:p w:rsidR="00D80320" w:rsidRPr="00142A78" w:rsidP="00142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</w:t>
      </w:r>
      <w:r w:rsidRPr="00142A78">
        <w:rPr>
          <w:rFonts w:ascii="Times New Roman" w:hAnsi="Times New Roman" w:cs="Times New Roman"/>
          <w:sz w:val="28"/>
          <w:szCs w:val="28"/>
        </w:rPr>
        <w:t xml:space="preserve">жет не составлять мотивированное решение суда по рассмотренному им делу. </w:t>
      </w:r>
      <w:r w:rsidRPr="00142A7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 w:rsidRPr="00142A78">
        <w:rPr>
          <w:rFonts w:ascii="Times New Roman" w:hAnsi="Times New Roman" w:cs="Times New Roman"/>
          <w:sz w:val="28"/>
          <w:szCs w:val="28"/>
        </w:rPr>
        <w:t>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</w:t>
      </w:r>
      <w:r w:rsidRPr="00142A78">
        <w:rPr>
          <w:rFonts w:ascii="Times New Roman" w:hAnsi="Times New Roman" w:cs="Times New Roman"/>
          <w:sz w:val="28"/>
          <w:szCs w:val="28"/>
        </w:rPr>
        <w:t>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</w:t>
      </w:r>
      <w:r w:rsidRPr="00142A78">
        <w:rPr>
          <w:rFonts w:ascii="Times New Roman" w:hAnsi="Times New Roman" w:cs="Times New Roman"/>
          <w:sz w:val="28"/>
          <w:szCs w:val="28"/>
        </w:rPr>
        <w:t>вления о составлении мотивированного решения суда.</w:t>
      </w:r>
    </w:p>
    <w:p w:rsidR="00D80320" w:rsidRPr="00142A78" w:rsidP="00142A78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7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142A78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14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</w:t>
      </w:r>
      <w:r w:rsidRPr="00142A78">
        <w:rPr>
          <w:rFonts w:ascii="Times New Roman" w:eastAsia="Times New Roman" w:hAnsi="Times New Roman" w:cs="Times New Roman"/>
          <w:color w:val="000000"/>
          <w:sz w:val="28"/>
          <w:szCs w:val="28"/>
        </w:rPr>
        <w:t>а со дня его принятия.</w:t>
      </w:r>
    </w:p>
    <w:p w:rsidR="00D80320" w:rsidRPr="00142A78" w:rsidP="00142A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142A78" w:rsidP="00142A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142A78" w:rsidP="00142A78">
      <w:pPr>
        <w:spacing w:after="0"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142A7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="00B11680">
        <w:rPr>
          <w:rFonts w:ascii="Times New Roman" w:hAnsi="Times New Roman" w:cs="Times New Roman"/>
          <w:sz w:val="28"/>
          <w:szCs w:val="28"/>
        </w:rPr>
        <w:t>/подпись/</w:t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Pr="00142A78">
        <w:rPr>
          <w:rFonts w:ascii="Times New Roman" w:hAnsi="Times New Roman" w:cs="Times New Roman"/>
          <w:sz w:val="28"/>
          <w:szCs w:val="28"/>
        </w:rPr>
        <w:tab/>
      </w:r>
      <w:r w:rsidRPr="00142A78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p w:rsidR="00300D23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0F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A78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680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680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680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680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680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680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680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7F2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CCE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>При определении суммы, подлежащей взысканию в возмещение расходов по оплате услуг представителя истца, суд исходит из среднего уровня оплаты аналогичных услуг, при этом суд учитывает степень сложности гражданского дела, цену иска, обоснованность заявленных</w:t>
      </w:r>
      <w:r w:rsidRPr="00142A78">
        <w:rPr>
          <w:sz w:val="28"/>
          <w:szCs w:val="28"/>
        </w:rPr>
        <w:t xml:space="preserve"> требований, а также принимает во внимание объем и качество проведенной представителем по делу работы и количество судебных заседаний в которых представитель истца принимал участие.</w:t>
      </w:r>
    </w:p>
    <w:p w:rsidR="00110A0F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0F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2E5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>В соответствии с ч. 1 ст. 98 ГПК РФ стороне, в пользу которой состоялось</w:t>
      </w:r>
      <w:r w:rsidRPr="00142A78">
        <w:rPr>
          <w:sz w:val="28"/>
          <w:szCs w:val="28"/>
        </w:rPr>
        <w:t xml:space="preserve"> решение суда, суд присуждает возместить с другой стороны все понесенные по делу судебные расходы. В случае, если иск удовлетворен частично, судебные расходы присуждаются истцу пропорционально размеру удовлетворенных судом исковых требований. Судебные расх</w:t>
      </w:r>
      <w:r w:rsidRPr="00142A78">
        <w:rPr>
          <w:sz w:val="28"/>
          <w:szCs w:val="28"/>
        </w:rPr>
        <w:t xml:space="preserve">оды состоят из государственной пошлины и издержек, связанных с рассмотрением дела (ст. 88 ГПК РФ).Судом установлено, что истец понес расходы по оплате государственной пошлины при подаче искового заявления в размере 1130 руб. (л.д. 5, 6). Поскольку исковые </w:t>
      </w:r>
      <w:r w:rsidRPr="00142A78">
        <w:rPr>
          <w:sz w:val="28"/>
          <w:szCs w:val="28"/>
        </w:rPr>
        <w:t>требования удовлетворены частично, то и государственная пошлина подлежит взысканию пропорционально сумме удовлетворенных требований, в размере 995 руб.. В силу ст. 94 ГПК РФ к издержкам, связанным с рассмотрением дела, относятся, помимо прочего, расходы на</w:t>
      </w:r>
      <w:r w:rsidRPr="00142A78">
        <w:rPr>
          <w:sz w:val="28"/>
          <w:szCs w:val="28"/>
        </w:rPr>
        <w:t xml:space="preserve"> оплату услуг представителя. Согласно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 Исходя из положений Постановлен</w:t>
      </w:r>
      <w:r w:rsidRPr="00142A78">
        <w:rPr>
          <w:sz w:val="28"/>
          <w:szCs w:val="28"/>
        </w:rPr>
        <w:t xml:space="preserve">ия Пленума Верховного Суда РФ от 21.01.2016 N 1 "О некоторых вопросах применения законодательства о возмещении издержек, связанных с рассмотрением дела", суд, разрешая вопрос о размере сумм, взыскиваемых в возмещение судебных издержек, не вправе уменьшать </w:t>
      </w:r>
      <w:r w:rsidRPr="00142A78">
        <w:rPr>
          <w:sz w:val="28"/>
          <w:szCs w:val="28"/>
        </w:rPr>
        <w:t>его произвольно, если другая сторона не заявляет возражения и не представляет доказательства чрезмерности взыскиваемых с нее расходов (ч. 4 ст. 1 ГПК РФ). Ответчица М. возражала против удовлетворения требований в полном объеме, в силу их несоразмерности, о</w:t>
      </w:r>
      <w:r w:rsidRPr="00142A78">
        <w:rPr>
          <w:sz w:val="28"/>
          <w:szCs w:val="28"/>
        </w:rPr>
        <w:t xml:space="preserve">днако доказательств чрезмерности взыскиваемых с нее расходов не представила. Кроме этого, в целях реализации задачи судопроизводства по справедливому публичному судебному разбирательству, обеспечения необходимого баланса процессуальных прав и обязанностей </w:t>
      </w:r>
      <w:r w:rsidRPr="00142A78">
        <w:rPr>
          <w:sz w:val="28"/>
          <w:szCs w:val="28"/>
        </w:rPr>
        <w:t>сторон (ст. 2, 35 ГПК РФ), суд вправе уменьшить размер судебных издержек, в том числе, расходов на оплату услуг представителя, если заявленная к взысканию сумма издержек, исходя из имеющихся в деле доказательств, носит явно неразумный (чрезмерный) характер</w:t>
      </w:r>
      <w:r w:rsidRPr="00142A78">
        <w:rPr>
          <w:sz w:val="28"/>
          <w:szCs w:val="28"/>
        </w:rPr>
        <w:t>. При неполном (частичном)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(ст. 100 ГПК РФ). Раз</w:t>
      </w:r>
      <w:r w:rsidRPr="00142A78">
        <w:rPr>
          <w:sz w:val="28"/>
          <w:szCs w:val="28"/>
        </w:rPr>
        <w:t xml:space="preserve">умными следует считать такие расходы на оплату услуг представителя, которые при сравнимых обстоятельствах обычно взимаются за аналогичные услуги. При </w:t>
      </w:r>
      <w:r w:rsidRPr="00142A78">
        <w:rPr>
          <w:sz w:val="28"/>
          <w:szCs w:val="28"/>
        </w:rPr>
        <w:t>определении разумности могут учитываться объем заявленных требований, цена иска, сложность дела, объем ока</w:t>
      </w:r>
      <w:r w:rsidRPr="00142A78">
        <w:rPr>
          <w:sz w:val="28"/>
          <w:szCs w:val="28"/>
        </w:rPr>
        <w:t>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обстоятельства. Судом установлено, что истец понес расходы на оплату услуг представителя С. в размере 10000 рублей по с</w:t>
      </w:r>
      <w:r w:rsidRPr="00142A78">
        <w:rPr>
          <w:sz w:val="28"/>
          <w:szCs w:val="28"/>
        </w:rPr>
        <w:t>оглашению об оказании юридической помощи N 5 от 01.04.2022. (л.д. 37-38). Исходя из пропорциональности исковых требований, в удовлетворении которых истцу было отказано, принципа разумности, справедливости и сложности рассмотренного судом дела, суд приходит</w:t>
      </w:r>
      <w:r w:rsidRPr="00142A78">
        <w:rPr>
          <w:sz w:val="28"/>
          <w:szCs w:val="28"/>
        </w:rPr>
        <w:t xml:space="preserve"> к выводу о взыскании с М. пользу ТСЖ "Вознесенская" расходов на оплату услуг представителя в сумме 8 000 руб. В удовлетворении остальных требований суд не находит оснований для удовлетворения.Руководствуясь ст. ст. 194 - 197, 199 Гражданского процессуальн</w:t>
      </w:r>
      <w:r w:rsidRPr="00142A78">
        <w:rPr>
          <w:sz w:val="28"/>
          <w:szCs w:val="28"/>
        </w:rPr>
        <w:t>ого кодекса Российской Федерации,</w:t>
      </w:r>
    </w:p>
    <w:p w:rsidR="00960568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68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68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BE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>Судом установлено, что 19 августа 2022 года между З. и ИП Д. был заключен договор возмездного оказания услуг N 19-0822-0001.</w:t>
      </w:r>
    </w:p>
    <w:p w:rsidR="006F26BE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>В силу п. 1.1 и 1.2 данного договору Исполнитель (ИП Д.) обязуется по заданию Заказчика (З.) о</w:t>
      </w:r>
      <w:r w:rsidRPr="00142A78">
        <w:rPr>
          <w:sz w:val="28"/>
          <w:szCs w:val="28"/>
        </w:rPr>
        <w:t>казать юридические услуги по консультированию, сопровождению, составлению обращений, а также изучить представленные Заказчиком документы и проинформировать о возможных вариантах разрешения спорного вопроса, провести консультацию посредством телефонной связ</w:t>
      </w:r>
      <w:r w:rsidRPr="00142A78">
        <w:rPr>
          <w:sz w:val="28"/>
          <w:szCs w:val="28"/>
        </w:rPr>
        <w:t xml:space="preserve">и, подготовить документы для защиты и реализации законных интересов Заказчика, а Заказник обязуется оплатить эти услуги. </w:t>
      </w:r>
    </w:p>
    <w:p w:rsidR="006F26BE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 xml:space="preserve">Согласно п. 1.4 вышеназванного договора место оказание услуги удаленно по месту нахождения Исполнителя. </w:t>
      </w:r>
    </w:p>
    <w:p w:rsidR="006F26BE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>п. 4.1 и 4.3 договора стоимос</w:t>
      </w:r>
      <w:r w:rsidRPr="00142A78">
        <w:rPr>
          <w:sz w:val="28"/>
          <w:szCs w:val="28"/>
        </w:rPr>
        <w:t>ть услуг определяется исходя из стоимости оказанных необходимых услуг. Предварительная оплата в размере 20 000 руб. заказчик оплачивает Исполнителю в течении 15 дней после подписания настоящего договора. Последующие услуги Заказчик оплачивает Исполнителю с</w:t>
      </w:r>
      <w:r w:rsidRPr="00142A78">
        <w:rPr>
          <w:sz w:val="28"/>
          <w:szCs w:val="28"/>
        </w:rPr>
        <w:t xml:space="preserve">огласно актам выполненных услуг, в течении 10 дней после подписания акта. </w:t>
      </w:r>
    </w:p>
    <w:p w:rsidR="006F26BE" w:rsidRPr="00142A78" w:rsidP="00142A7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42A78">
        <w:rPr>
          <w:sz w:val="28"/>
          <w:szCs w:val="28"/>
        </w:rPr>
        <w:t>Таким образом, учитывая категорию спора, объем защищаемого права, процессуальный результат рассмотрения дела и размер удовлетворенных требований истца, объем оказанных истцу услуг и</w:t>
      </w:r>
      <w:r w:rsidRPr="00142A78">
        <w:rPr>
          <w:sz w:val="28"/>
          <w:szCs w:val="28"/>
        </w:rPr>
        <w:t xml:space="preserve"> содержания подготовленных документов, в том числе, что часть документов, прилагаемых к исковому заявлению получены от истца, часть получена из открытых источников сети "Интернет" (распечатки с сайта ответчика, выписка из ЕГРЮЛ), каких-либо иных документов</w:t>
      </w:r>
      <w:r w:rsidRPr="00142A78">
        <w:rPr>
          <w:sz w:val="28"/>
          <w:szCs w:val="28"/>
        </w:rPr>
        <w:t xml:space="preserve">, получение которых было затруднительно для истца и требовало временных затрат, суду не представлено, принимая во внимание неучастие ИП Д. в судебных заседаниях в качестве представителя, с учетом принципов разумности и справедливости, суд полагает, что ко </w:t>
      </w:r>
      <w:r w:rsidRPr="00142A78">
        <w:rPr>
          <w:sz w:val="28"/>
          <w:szCs w:val="28"/>
        </w:rPr>
        <w:t xml:space="preserve">взысканию с ответчика в пользу истца подлежат расходы на оплату юридических услуг, оказанных в рамках рассматриваемого дела в размере 2 500 рублей. </w:t>
      </w:r>
    </w:p>
    <w:p w:rsidR="00960568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68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17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9"/>
        <w:gridCol w:w="1410"/>
        <w:gridCol w:w="1410"/>
        <w:gridCol w:w="717"/>
        <w:gridCol w:w="976"/>
        <w:gridCol w:w="940"/>
        <w:gridCol w:w="3455"/>
        <w:gridCol w:w="1200"/>
      </w:tblGrid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11.09.2020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11.09.2020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10.10.2020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11.10.2020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× 102 ×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6,34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141,18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13.10.2020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13.10.2020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12.11.2020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70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6,34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× 42 ×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× 14 × 1/130 ×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141,18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11.11.2020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08.02.2021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41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6,34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141,18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 xml:space="preserve">Расчёт пеней по </w:t>
            </w: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задолженности, возникшей 11.12.2020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× 60 × 1/300 ×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11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6,34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141,18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12.01.2021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39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21 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1,65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2,54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50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× 49 × 1/130 ×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139,03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11.02.2021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9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35 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2,75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16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1,33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34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× 134 ×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135,85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11.03.2021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11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19 × 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16 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08.06.2021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44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3,66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6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1,15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131,32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13.04.2021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 × 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17 × 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33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27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2,98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11,49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124,72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11.05.2021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Период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30 × 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0,42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41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3,79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08.08.2021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1,42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35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8,21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× 42 ×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× 14 × 1/130 ×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118,86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11.06.2021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 × 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26 × 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15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1,39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08.09.2021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45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4,57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0,94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554,30 ×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111,92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13.07.2021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 × 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17 × 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32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3,25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28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3,36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3,88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16,12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554,30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54,28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103,87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11.08.2021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30 × 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3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0,32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42 × 1/300 ×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08.11.2021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15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1,94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41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18,55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99,76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11.09.2021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2 × 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28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14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1,74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46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5,94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10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2,98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18,55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574,26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90,70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 xml:space="preserve">Расчёт пеней по </w:t>
            </w: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задолженности, возникшей 12.10.2021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13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17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39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21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3,01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35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11,60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81,14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11.11.2021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30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9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1,16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51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7,32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5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1,66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5,26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134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56,23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71,63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11.12.2021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9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21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35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5,02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14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11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123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51,62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60,92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11.01.2022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Период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4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0,57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14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2,28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42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7,64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92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38,61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49,10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 xml:space="preserve">Расчёт пеней по задолженности, </w:t>
            </w: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возникшей 11.02.2022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14 × 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13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60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61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25,60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36,51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11.03.2022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60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33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13,85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24,76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12.04.2022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60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10,91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0,42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11,33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11.05.2022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32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5,82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5,82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11.06.2022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0,18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0,18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pStyle w:val="Heading4"/>
              <w:spacing w:before="0" w:beforeAutospacing="0" w:after="0" w:afterAutospacing="0"/>
              <w:rPr>
                <w:b w:val="0"/>
                <w:bCs w:val="0"/>
                <w:color w:val="484F5E"/>
                <w:sz w:val="28"/>
                <w:szCs w:val="28"/>
              </w:rPr>
            </w:pPr>
            <w:r w:rsidRPr="00142A78">
              <w:rPr>
                <w:b w:val="0"/>
                <w:bCs w:val="0"/>
                <w:color w:val="484F5E"/>
                <w:sz w:val="28"/>
                <w:szCs w:val="28"/>
              </w:rPr>
              <w:t>Расчёт пеней по задолженности, возникшей 11.07.2022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 xml:space="preserve">Доля 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Пени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574,25 × 1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0,00 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b/>
                <w:bCs/>
                <w:color w:val="5C5C5C"/>
                <w:sz w:val="28"/>
                <w:szCs w:val="28"/>
                <w:bdr w:val="none" w:sz="0" w:space="0" w:color="auto" w:frame="1"/>
              </w:rPr>
              <w:t>0,00</w:t>
            </w: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 р.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Сумма основного долга: 12 988,32 руб.</w:t>
            </w:r>
          </w:p>
        </w:tc>
      </w:tr>
      <w:tr w:rsidTr="00EE55C6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E55C6" w:rsidRPr="00142A78" w:rsidP="00142A7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142A78">
              <w:rPr>
                <w:rFonts w:ascii="Times New Roman" w:hAnsi="Times New Roman" w:cs="Times New Roman"/>
                <w:color w:val="5C5C5C"/>
                <w:sz w:val="28"/>
                <w:szCs w:val="28"/>
              </w:rPr>
              <w:t>Сумма пеней по всем задолженностям: 1 962,14 руб.</w:t>
            </w:r>
          </w:p>
        </w:tc>
      </w:tr>
    </w:tbl>
    <w:p w:rsidR="003E7800" w:rsidRPr="00142A78" w:rsidP="00142A7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142A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349E"/>
    <w:rsid w:val="000D5233"/>
    <w:rsid w:val="000E08AE"/>
    <w:rsid w:val="000E1290"/>
    <w:rsid w:val="000E4F5D"/>
    <w:rsid w:val="000F00E0"/>
    <w:rsid w:val="000F787D"/>
    <w:rsid w:val="000F7B8C"/>
    <w:rsid w:val="00110A0F"/>
    <w:rsid w:val="00113791"/>
    <w:rsid w:val="00125F3B"/>
    <w:rsid w:val="00127CF7"/>
    <w:rsid w:val="00142A78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37F2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A4CCE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C7FE0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600BEA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2F30"/>
    <w:rsid w:val="00684C5A"/>
    <w:rsid w:val="0069277F"/>
    <w:rsid w:val="0069354F"/>
    <w:rsid w:val="006A2798"/>
    <w:rsid w:val="006A48FD"/>
    <w:rsid w:val="006B2301"/>
    <w:rsid w:val="006C35FC"/>
    <w:rsid w:val="006C3783"/>
    <w:rsid w:val="006D1058"/>
    <w:rsid w:val="006D18BB"/>
    <w:rsid w:val="006D1C9F"/>
    <w:rsid w:val="006D3B97"/>
    <w:rsid w:val="006D5439"/>
    <w:rsid w:val="006D6DCF"/>
    <w:rsid w:val="006D7AF6"/>
    <w:rsid w:val="006E098E"/>
    <w:rsid w:val="006F26B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E273B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3869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1317"/>
    <w:rsid w:val="009A41C6"/>
    <w:rsid w:val="009B0AC6"/>
    <w:rsid w:val="009B3824"/>
    <w:rsid w:val="009B5F18"/>
    <w:rsid w:val="009B7976"/>
    <w:rsid w:val="009C3628"/>
    <w:rsid w:val="009C6524"/>
    <w:rsid w:val="009E2794"/>
    <w:rsid w:val="009E2F47"/>
    <w:rsid w:val="009E4C77"/>
    <w:rsid w:val="009F5194"/>
    <w:rsid w:val="00A10AB6"/>
    <w:rsid w:val="00A134C2"/>
    <w:rsid w:val="00A273F9"/>
    <w:rsid w:val="00A27C22"/>
    <w:rsid w:val="00A3063F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723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2E5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4E8"/>
    <w:rsid w:val="00AF6A4F"/>
    <w:rsid w:val="00AF7F4A"/>
    <w:rsid w:val="00B03D95"/>
    <w:rsid w:val="00B10992"/>
    <w:rsid w:val="00B11680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30B4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5FC1"/>
    <w:rsid w:val="00FB64BF"/>
    <w:rsid w:val="00FC48A4"/>
    <w:rsid w:val="00FD1D07"/>
    <w:rsid w:val="00FE60C9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NormalWeb">
    <w:name w:val="Normal (Web)"/>
    <w:basedOn w:val="Normal"/>
    <w:uiPriority w:val="99"/>
    <w:unhideWhenUsed/>
    <w:rsid w:val="009A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DB93-8A5B-46C8-9DF1-14982069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