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1405" w:rsidRPr="00E86998" w:rsidP="009A59B5">
      <w:pPr>
        <w:pStyle w:val="NoSpacing"/>
        <w:jc w:val="right"/>
        <w:rPr>
          <w:sz w:val="28"/>
          <w:szCs w:val="28"/>
          <w:lang w:val="uk-UA"/>
        </w:rPr>
      </w:pPr>
      <w:r w:rsidRPr="00E86998">
        <w:rPr>
          <w:sz w:val="28"/>
          <w:szCs w:val="28"/>
        </w:rPr>
        <w:t>Дело</w:t>
      </w:r>
      <w:r w:rsidRPr="00E86998">
        <w:rPr>
          <w:sz w:val="28"/>
          <w:szCs w:val="28"/>
          <w:lang w:val="uk-UA"/>
        </w:rPr>
        <w:t xml:space="preserve"> № 2-6</w:t>
      </w:r>
      <w:r w:rsidRPr="00E86998" w:rsidR="00597F71">
        <w:rPr>
          <w:sz w:val="28"/>
          <w:szCs w:val="28"/>
          <w:lang w:val="uk-UA"/>
        </w:rPr>
        <w:t>2</w:t>
      </w:r>
      <w:r w:rsidRPr="00E86998">
        <w:rPr>
          <w:sz w:val="28"/>
          <w:szCs w:val="28"/>
          <w:lang w:val="uk-UA"/>
        </w:rPr>
        <w:t>-</w:t>
      </w:r>
      <w:r w:rsidRPr="00E86998" w:rsidR="00AF0E5E">
        <w:rPr>
          <w:sz w:val="28"/>
          <w:szCs w:val="28"/>
          <w:lang w:val="uk-UA"/>
        </w:rPr>
        <w:t>1</w:t>
      </w:r>
      <w:r w:rsidRPr="00E86998" w:rsidR="0071394B">
        <w:rPr>
          <w:sz w:val="28"/>
          <w:szCs w:val="28"/>
          <w:lang w:val="uk-UA"/>
        </w:rPr>
        <w:t>174</w:t>
      </w:r>
      <w:r w:rsidRPr="00E86998" w:rsidR="009A59B5">
        <w:rPr>
          <w:sz w:val="28"/>
          <w:szCs w:val="28"/>
          <w:lang w:val="uk-UA"/>
        </w:rPr>
        <w:t>/2025</w:t>
      </w:r>
    </w:p>
    <w:p w:rsidR="00AF0E5E" w:rsidRPr="00E86998" w:rsidP="00AF0E5E">
      <w:pPr>
        <w:pStyle w:val="NoSpacing"/>
        <w:jc w:val="right"/>
        <w:rPr>
          <w:sz w:val="28"/>
          <w:szCs w:val="28"/>
        </w:rPr>
      </w:pPr>
      <w:r w:rsidRPr="00E86998">
        <w:rPr>
          <w:sz w:val="28"/>
          <w:szCs w:val="28"/>
        </w:rPr>
        <w:t>УИД 91</w:t>
      </w:r>
      <w:r w:rsidRPr="00E86998">
        <w:rPr>
          <w:sz w:val="28"/>
          <w:szCs w:val="28"/>
          <w:lang w:val="en-US"/>
        </w:rPr>
        <w:t>MS</w:t>
      </w:r>
      <w:r w:rsidRPr="00E86998">
        <w:rPr>
          <w:sz w:val="28"/>
          <w:szCs w:val="28"/>
        </w:rPr>
        <w:t>0062-01-2025-002033-06</w:t>
      </w:r>
    </w:p>
    <w:p w:rsidR="0041183A" w:rsidRPr="00E86998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E8699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9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41ED" w:rsidRPr="00E86998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699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53A68" w:rsidRPr="00E86998" w:rsidP="00853A68">
      <w:pPr>
        <w:pStyle w:val="NoSpacing"/>
        <w:ind w:firstLine="708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17 ноября</w:t>
      </w:r>
      <w:r w:rsidRPr="00E86998" w:rsidR="009A59B5">
        <w:rPr>
          <w:sz w:val="28"/>
          <w:szCs w:val="28"/>
        </w:rPr>
        <w:t xml:space="preserve"> 2025</w:t>
      </w:r>
      <w:r w:rsidRPr="00E86998">
        <w:rPr>
          <w:sz w:val="28"/>
          <w:szCs w:val="28"/>
        </w:rPr>
        <w:t xml:space="preserve"> года                        </w:t>
      </w:r>
      <w:r w:rsidRPr="00E86998" w:rsidR="00D114F7">
        <w:rPr>
          <w:sz w:val="28"/>
          <w:szCs w:val="28"/>
        </w:rPr>
        <w:tab/>
      </w:r>
      <w:r w:rsidRPr="00E86998">
        <w:rPr>
          <w:sz w:val="28"/>
          <w:szCs w:val="28"/>
        </w:rPr>
        <w:t xml:space="preserve">                             </w:t>
      </w:r>
      <w:r w:rsidRPr="00E86998">
        <w:rPr>
          <w:sz w:val="28"/>
          <w:szCs w:val="28"/>
        </w:rPr>
        <w:t>пгт</w:t>
      </w:r>
      <w:r w:rsidRPr="00E8699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Ленино</w:t>
      </w:r>
    </w:p>
    <w:p w:rsidR="00853A68" w:rsidRPr="00E86998" w:rsidP="00853A68">
      <w:pPr>
        <w:pStyle w:val="NoSpacing"/>
        <w:jc w:val="both"/>
        <w:rPr>
          <w:sz w:val="28"/>
          <w:szCs w:val="28"/>
        </w:rPr>
      </w:pPr>
    </w:p>
    <w:p w:rsidR="00853A68" w:rsidRPr="00E86998" w:rsidP="00853A68">
      <w:pPr>
        <w:pStyle w:val="NoSpacing"/>
        <w:ind w:firstLine="708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М</w:t>
      </w:r>
      <w:r w:rsidRPr="00E86998">
        <w:rPr>
          <w:sz w:val="28"/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E86998" w:rsidP="00853A68">
      <w:pPr>
        <w:pStyle w:val="NoSpacing"/>
        <w:ind w:firstLine="708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при  </w:t>
      </w:r>
      <w:r w:rsidRPr="00E86998" w:rsidR="00597F71">
        <w:rPr>
          <w:sz w:val="28"/>
          <w:szCs w:val="28"/>
        </w:rPr>
        <w:t xml:space="preserve">секретаре судебного заседания </w:t>
      </w:r>
      <w:r w:rsidRPr="00E86998" w:rsidR="00597F71">
        <w:rPr>
          <w:sz w:val="28"/>
          <w:szCs w:val="28"/>
        </w:rPr>
        <w:t>Лихошва</w:t>
      </w:r>
      <w:r w:rsidRPr="00E86998" w:rsidR="00597F71">
        <w:rPr>
          <w:sz w:val="28"/>
          <w:szCs w:val="28"/>
        </w:rPr>
        <w:t xml:space="preserve"> А.Н.</w:t>
      </w:r>
    </w:p>
    <w:p w:rsidR="00597F71" w:rsidRPr="00E86998" w:rsidP="004F3A92">
      <w:pPr>
        <w:pStyle w:val="NoSpacing"/>
        <w:ind w:firstLine="708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E86998" w:rsidR="009B3026">
        <w:rPr>
          <w:sz w:val="28"/>
          <w:szCs w:val="28"/>
        </w:rPr>
        <w:t>садового некоммерческого товарищества «</w:t>
      </w:r>
      <w:r w:rsidRPr="00E86998" w:rsidR="00AF0E5E">
        <w:rPr>
          <w:sz w:val="28"/>
          <w:szCs w:val="28"/>
        </w:rPr>
        <w:t>Акташ</w:t>
      </w:r>
      <w:r w:rsidRPr="00E86998" w:rsidR="009B3026">
        <w:rPr>
          <w:sz w:val="28"/>
          <w:szCs w:val="28"/>
        </w:rPr>
        <w:t xml:space="preserve">» к </w:t>
      </w:r>
      <w:r w:rsidRPr="00E86998" w:rsidR="00AF0E5E">
        <w:rPr>
          <w:sz w:val="28"/>
          <w:szCs w:val="28"/>
        </w:rPr>
        <w:t>Загребельской</w:t>
      </w:r>
      <w:r w:rsidRPr="00E86998" w:rsidR="00AF0E5E">
        <w:rPr>
          <w:sz w:val="28"/>
          <w:szCs w:val="28"/>
        </w:rPr>
        <w:t xml:space="preserve"> Дарье Артуровне</w:t>
      </w:r>
      <w:r w:rsidRPr="00E86998" w:rsidR="00FF2FC9">
        <w:rPr>
          <w:sz w:val="28"/>
          <w:szCs w:val="28"/>
        </w:rPr>
        <w:t xml:space="preserve"> </w:t>
      </w:r>
      <w:r w:rsidRPr="00E86998" w:rsidR="00F9538A">
        <w:rPr>
          <w:sz w:val="28"/>
          <w:szCs w:val="28"/>
        </w:rPr>
        <w:t xml:space="preserve">о взыскании задолженности по </w:t>
      </w:r>
      <w:r w:rsidRPr="00E86998" w:rsidR="00543DD5">
        <w:rPr>
          <w:sz w:val="28"/>
          <w:szCs w:val="28"/>
        </w:rPr>
        <w:t>электроэнергии</w:t>
      </w:r>
      <w:r w:rsidRPr="00E86998" w:rsidR="00F9538A">
        <w:rPr>
          <w:sz w:val="28"/>
          <w:szCs w:val="28"/>
        </w:rPr>
        <w:t xml:space="preserve">, </w:t>
      </w:r>
    </w:p>
    <w:p w:rsidR="003F50F0" w:rsidRPr="00E86998" w:rsidP="004F3A92">
      <w:pPr>
        <w:pStyle w:val="NoSpacing"/>
        <w:ind w:firstLine="708"/>
        <w:jc w:val="both"/>
        <w:rPr>
          <w:sz w:val="28"/>
          <w:szCs w:val="28"/>
        </w:rPr>
      </w:pPr>
    </w:p>
    <w:p w:rsidR="003F50F0" w:rsidRPr="00E86998" w:rsidP="003F50F0">
      <w:pPr>
        <w:pStyle w:val="NoSpacing"/>
        <w:jc w:val="center"/>
        <w:rPr>
          <w:sz w:val="28"/>
          <w:szCs w:val="28"/>
        </w:rPr>
      </w:pPr>
      <w:r w:rsidRPr="00E86998">
        <w:rPr>
          <w:sz w:val="28"/>
          <w:szCs w:val="28"/>
        </w:rPr>
        <w:t>УСТАНОВИЛ:</w:t>
      </w:r>
    </w:p>
    <w:p w:rsidR="003F50F0" w:rsidRPr="00E86998" w:rsidP="003F50F0">
      <w:pPr>
        <w:pStyle w:val="NoSpacing"/>
        <w:jc w:val="center"/>
        <w:rPr>
          <w:sz w:val="28"/>
          <w:szCs w:val="28"/>
        </w:rPr>
      </w:pP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Садовое некоммерческое товарищество «Акташ» (далее - СНТ «Акташ») обратилось к мировому судье судебного участка № 62 Ленинского судебного района (Ленинский муниципальный район) Республики Крым с исковым заявлением к </w:t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Дарье Артуровне, в котором, с учетом поданного уточненного искового заявления от</w:t>
      </w:r>
      <w:r w:rsidR="007959E8">
        <w:rPr>
          <w:sz w:val="28"/>
          <w:szCs w:val="28"/>
        </w:rPr>
        <w:t xml:space="preserve"> (данные изъяты)</w:t>
      </w:r>
      <w:r w:rsidRPr="00E86998">
        <w:rPr>
          <w:sz w:val="28"/>
          <w:szCs w:val="28"/>
        </w:rPr>
        <w:t xml:space="preserve">, просит взыскать с ответчика задолженность по уплате электроэнергии на садовом участке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, за период с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>, в сумме</w:t>
      </w:r>
      <w:r w:rsidRPr="00E86998">
        <w:rPr>
          <w:sz w:val="28"/>
          <w:szCs w:val="28"/>
        </w:rPr>
        <w:t xml:space="preserve"> 12645 руб. 12 коп</w:t>
      </w:r>
      <w:r w:rsidRPr="00E86998">
        <w:rPr>
          <w:sz w:val="28"/>
          <w:szCs w:val="28"/>
        </w:rPr>
        <w:t xml:space="preserve">., </w:t>
      </w:r>
      <w:r w:rsidRPr="00E86998">
        <w:rPr>
          <w:sz w:val="28"/>
          <w:szCs w:val="28"/>
        </w:rPr>
        <w:t>а также расходы по уплате государственной пошлины в размере 6000 рублей 00 копеек.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В обоснование иска указывается, что решением Правления СПК «СВТ- 3 «Акташ» от </w:t>
      </w:r>
      <w:r w:rsidRPr="007959E8" w:rsidR="007959E8">
        <w:rPr>
          <w:sz w:val="28"/>
          <w:szCs w:val="28"/>
        </w:rPr>
        <w:t>(данные изъяты)</w:t>
      </w:r>
      <w:r w:rsidR="007959E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Д.А. был предоставлен земельный участок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для размещения временного объекта торговли - магазина</w:t>
      </w:r>
      <w:r w:rsidRPr="00E86998">
        <w:rPr>
          <w:sz w:val="28"/>
          <w:szCs w:val="28"/>
        </w:rPr>
        <w:t>.</w:t>
      </w:r>
      <w:r w:rsidRPr="00E86998">
        <w:rPr>
          <w:sz w:val="28"/>
          <w:szCs w:val="28"/>
        </w:rPr>
        <w:t xml:space="preserve"> </w:t>
      </w:r>
      <w:r w:rsidRPr="007959E8" w:rsidR="007959E8">
        <w:rPr>
          <w:sz w:val="28"/>
          <w:szCs w:val="28"/>
        </w:rPr>
        <w:t>(</w:t>
      </w:r>
      <w:r w:rsidRPr="007959E8" w:rsidR="007959E8">
        <w:rPr>
          <w:sz w:val="28"/>
          <w:szCs w:val="28"/>
        </w:rPr>
        <w:t>д</w:t>
      </w:r>
      <w:r w:rsidRPr="007959E8" w:rsidR="007959E8">
        <w:rPr>
          <w:sz w:val="28"/>
          <w:szCs w:val="28"/>
        </w:rPr>
        <w:t>анные изъяты)</w:t>
      </w:r>
      <w:r w:rsidRPr="00E86998">
        <w:rPr>
          <w:sz w:val="28"/>
          <w:szCs w:val="28"/>
        </w:rPr>
        <w:t xml:space="preserve"> между сторонами был заключен договор о возмещении затрат на потребленную электроэнергию.</w:t>
      </w:r>
      <w:r w:rsidRPr="00E86998" w:rsidR="003D082F">
        <w:rPr>
          <w:sz w:val="28"/>
          <w:szCs w:val="28"/>
        </w:rPr>
        <w:t xml:space="preserve">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>сотрудниками СНТ «Акташ» были сняты контрольные показания прибора учета электрической энергии и установлена задолженность в размере 23008 руб. 48 коп</w:t>
      </w:r>
      <w:r w:rsidRPr="00E86998">
        <w:rPr>
          <w:sz w:val="28"/>
          <w:szCs w:val="28"/>
        </w:rPr>
        <w:t>.</w:t>
      </w:r>
      <w:r w:rsidRPr="00E8699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з</w:t>
      </w:r>
      <w:r w:rsidRPr="00E86998">
        <w:rPr>
          <w:sz w:val="28"/>
          <w:szCs w:val="28"/>
        </w:rPr>
        <w:t xml:space="preserve">а период с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. </w:t>
      </w:r>
      <w:r w:rsidRPr="00E86998">
        <w:rPr>
          <w:sz w:val="28"/>
          <w:szCs w:val="28"/>
        </w:rPr>
        <w:t xml:space="preserve">Оплаченные показания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- 1593 </w:t>
      </w:r>
      <w:r w:rsidRPr="00E86998">
        <w:rPr>
          <w:sz w:val="28"/>
          <w:szCs w:val="28"/>
        </w:rPr>
        <w:t>кВТ</w:t>
      </w:r>
      <w:r w:rsidRPr="00E86998">
        <w:rPr>
          <w:sz w:val="28"/>
          <w:szCs w:val="28"/>
        </w:rPr>
        <w:t xml:space="preserve">, текущие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- 5002 </w:t>
      </w:r>
      <w:r w:rsidRPr="00E86998">
        <w:rPr>
          <w:sz w:val="28"/>
          <w:szCs w:val="28"/>
        </w:rPr>
        <w:t>кВТ</w:t>
      </w:r>
      <w:r w:rsidRPr="00E86998">
        <w:rPr>
          <w:sz w:val="28"/>
          <w:szCs w:val="28"/>
        </w:rPr>
        <w:t xml:space="preserve">, разница составила 3409 </w:t>
      </w:r>
      <w:r w:rsidRPr="00E86998">
        <w:rPr>
          <w:sz w:val="28"/>
          <w:szCs w:val="28"/>
        </w:rPr>
        <w:t>кВТ</w:t>
      </w:r>
      <w:r w:rsidRPr="00E86998">
        <w:rPr>
          <w:sz w:val="28"/>
          <w:szCs w:val="28"/>
        </w:rPr>
        <w:t xml:space="preserve">, что по ценам Государственного комитета по ценам и тарифам составило 23008,48 руб. В адрес должника была направлена претензия, на которую ответчик оплатила задолженность по тарифам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в размере 10363,36 руб., что противоречит пункту 3.6 договора, в связи с чем, остаток задолженности составил 12645,12 руб.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В судебное заседание представитель истца и ответчик не явились, просили рассмотреть дело в их отсутствие. При этом</w:t>
      </w:r>
      <w:r w:rsidRPr="00E86998">
        <w:rPr>
          <w:sz w:val="28"/>
          <w:szCs w:val="28"/>
        </w:rPr>
        <w:t>,</w:t>
      </w:r>
      <w:r w:rsidRPr="00E86998">
        <w:rPr>
          <w:sz w:val="28"/>
          <w:szCs w:val="28"/>
        </w:rPr>
        <w:t xml:space="preserve"> ранее в судебном заседании представитель истца </w:t>
      </w:r>
      <w:r w:rsidRPr="00E86998">
        <w:rPr>
          <w:sz w:val="28"/>
          <w:szCs w:val="28"/>
        </w:rPr>
        <w:t>Бабийчук</w:t>
      </w:r>
      <w:r w:rsidRPr="00E86998">
        <w:rPr>
          <w:sz w:val="28"/>
          <w:szCs w:val="28"/>
        </w:rPr>
        <w:t xml:space="preserve"> А.Н. поддержал исковое заявление по основаниям, указанным в нем. При этом подтвердил, что на основании </w:t>
      </w:r>
      <w:r w:rsidRPr="00E86998">
        <w:rPr>
          <w:sz w:val="28"/>
          <w:szCs w:val="28"/>
        </w:rPr>
        <w:t xml:space="preserve">протеста прокуратуры и протокола правления СПК «СВТ-3 «Акташ» от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 xml:space="preserve">временный объект торговли ответчика прекратил свою деятельность. Однако,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были сняты показания счетчика электроэнергии, установлена задолженность, которая ответчиком была погашена частично после обращения к ней с соответствующим требованием. </w:t>
      </w:r>
      <w:r w:rsidRPr="00E86998">
        <w:rPr>
          <w:sz w:val="28"/>
          <w:szCs w:val="28"/>
        </w:rPr>
        <w:t xml:space="preserve">Также, ранее в судебном заседании ответчик </w:t>
      </w:r>
      <w:r w:rsidRPr="00E86998">
        <w:rPr>
          <w:sz w:val="28"/>
          <w:szCs w:val="28"/>
        </w:rPr>
        <w:t>Загребельская</w:t>
      </w:r>
      <w:r w:rsidRPr="00E86998">
        <w:rPr>
          <w:sz w:val="28"/>
          <w:szCs w:val="28"/>
        </w:rPr>
        <w:t xml:space="preserve"> Д.А. поддержала письменный отзыв на исковое заявление и пояснила, что никакого другого строения на спорном земельном участке нет, деятельность магазина прекращена с конца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>, в связи с чем, она не согласна с расчетом задолженности по тарифам на 2025 год, а также просит применить последствия пропуска срока исковой давности.</w:t>
      </w:r>
      <w:r w:rsidRPr="00E86998">
        <w:rPr>
          <w:sz w:val="28"/>
          <w:szCs w:val="28"/>
        </w:rPr>
        <w:t xml:space="preserve"> Также указывает, что сотрудниками СНТ «Акташ» показания электроприбора не снимались вопреки обязанности, указанной в договоре, а о задолженности она не знала. Кроме того, в суд поданы дополнительные пояснения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о несогласии с иском, в котором указывается на то, что в ее адрес не направлялись счета на оплату электроэнергии </w:t>
      </w:r>
      <w:r w:rsidRPr="00E86998">
        <w:rPr>
          <w:sz w:val="28"/>
          <w:szCs w:val="28"/>
        </w:rPr>
        <w:t>согласно</w:t>
      </w:r>
      <w:r w:rsidRPr="00E86998">
        <w:rPr>
          <w:sz w:val="28"/>
          <w:szCs w:val="28"/>
        </w:rPr>
        <w:t xml:space="preserve"> снятых показаний.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Исследовав материалы настоящего гражданского дела и дела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>, выслушав ранее данные пояснения сторон, а также предоставленные сторонами доказательства, прихожу к следующим выводам.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На основании ст. 210 ГК РФ собственник несет бремя содержания, принадлежащего ему имущества, если иное не предусмотрено законом или договором.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В соответствии с ч. 1 ст. 539 Гражданского кодекса Российской Федерации по договору энергоснабжения </w:t>
      </w:r>
      <w:r w:rsidRPr="00E86998">
        <w:rPr>
          <w:sz w:val="28"/>
          <w:szCs w:val="28"/>
        </w:rPr>
        <w:t>энергоснабжающая</w:t>
      </w:r>
      <w:r w:rsidRPr="00E86998">
        <w:rPr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Как предусмотрено положениями ст. 544 Гражданского кодекса Российской Федерации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Порядок расчетов за энергию определяется законом, иными правовыми актами или соглашением сторон.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На момент возникновения спорных правоотношений действовали Устав СПК «СВТ-3 «Акташ», утвержденный протоколом общего собрания членов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, Устав СПК «СВТ-3 «Акташ», утвержденный протоколом общего собрания членов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, Устав СНТ «Акташ», </w:t>
      </w:r>
      <w:r w:rsidRPr="00E86998" w:rsidR="000B20D1">
        <w:rPr>
          <w:sz w:val="28"/>
          <w:szCs w:val="28"/>
        </w:rPr>
        <w:t>утв</w:t>
      </w:r>
      <w:r w:rsidRPr="00E86998">
        <w:rPr>
          <w:sz w:val="28"/>
          <w:szCs w:val="28"/>
        </w:rPr>
        <w:t>ерж</w:t>
      </w:r>
      <w:r w:rsidRPr="00E86998" w:rsidR="000B20D1">
        <w:rPr>
          <w:sz w:val="28"/>
          <w:szCs w:val="28"/>
        </w:rPr>
        <w:t>д</w:t>
      </w:r>
      <w:r w:rsidRPr="00E86998">
        <w:rPr>
          <w:sz w:val="28"/>
          <w:szCs w:val="28"/>
        </w:rPr>
        <w:t xml:space="preserve">енный протоколом общего собрания членов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>, Устав СНГ Акташ»</w:t>
      </w:r>
      <w:r w:rsidRPr="00E86998">
        <w:rPr>
          <w:sz w:val="28"/>
          <w:szCs w:val="28"/>
        </w:rPr>
        <w:t>.</w:t>
      </w:r>
      <w:r w:rsidRPr="00E8699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у</w:t>
      </w:r>
      <w:r w:rsidRPr="00E86998">
        <w:rPr>
          <w:sz w:val="28"/>
          <w:szCs w:val="28"/>
        </w:rPr>
        <w:t xml:space="preserve">твержденный протоколом общего собрания членов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>, в которых указывается обязанность со стороны СПК «СВТ-3 .Акташ» и СНТ «Акташ» в предоставлении услуг инфраструктуры членам товарищества, в том числе, электроэнергии, а со стороны членов товарищества имеется обязанность уплаты такой коммунальной услуги.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>между ГУП РК «</w:t>
      </w:r>
      <w:r w:rsidRPr="00E86998">
        <w:rPr>
          <w:sz w:val="28"/>
          <w:szCs w:val="28"/>
        </w:rPr>
        <w:t>Крымэнерго</w:t>
      </w:r>
      <w:r w:rsidRPr="00E86998">
        <w:rPr>
          <w:sz w:val="28"/>
          <w:szCs w:val="28"/>
        </w:rPr>
        <w:t xml:space="preserve">» и СПК «СВТ-3 «Акташ» заключен договор энергоснабжения </w:t>
      </w: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(т. 1 </w:t>
      </w:r>
      <w:r w:rsidRPr="00E86998">
        <w:rPr>
          <w:sz w:val="28"/>
          <w:szCs w:val="28"/>
        </w:rPr>
        <w:t>л.д</w:t>
      </w:r>
      <w:r w:rsidRPr="00E86998">
        <w:rPr>
          <w:sz w:val="28"/>
          <w:szCs w:val="28"/>
        </w:rPr>
        <w:t>. 13-19).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 xml:space="preserve">между СПК «СВТ-3 «Акташ» и </w:t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Д.А. был заключен договор о возмещении затрат на потребляемую электроэнергию по земельному участку </w:t>
      </w: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(т. 1 </w:t>
      </w:r>
      <w:r w:rsidRPr="00E86998">
        <w:rPr>
          <w:sz w:val="28"/>
          <w:szCs w:val="28"/>
        </w:rPr>
        <w:t>л.д</w:t>
      </w:r>
      <w:r w:rsidRPr="00E86998">
        <w:rPr>
          <w:sz w:val="28"/>
          <w:szCs w:val="28"/>
        </w:rPr>
        <w:t>. 6) (далее - договор).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Из пункта 2.1.4 договора следует, что не реже двух раз в год (весна, осень) кооператив обязуется снимать контрольные показания и проводить техническое обследование прибора учета гражданина.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Согласно пункта 2.2.1 гражданин обязуется возмещать посредством оплаты кооперативу фактически принятое количество </w:t>
      </w:r>
      <w:r w:rsidRPr="00E86998">
        <w:rPr>
          <w:sz w:val="28"/>
          <w:szCs w:val="28"/>
        </w:rPr>
        <w:t>электроэнергии</w:t>
      </w:r>
      <w:r w:rsidRPr="00E86998">
        <w:rPr>
          <w:sz w:val="28"/>
          <w:szCs w:val="28"/>
        </w:rPr>
        <w:t xml:space="preserve"> согласно действующим тарифам (определенным в соответствии с действующим законодательством Российской Федерации), на основании показаний индивидуального прибора учета (счетчика) и процента потерь в магистрали от прибора учета в КТП до индивидуального прибора учета, а также общие эл. нужды СПК. Процент потерь в магистрали сторонами устанавливается до общего (вводного) счетчика путем расчетом </w:t>
      </w:r>
      <w:r w:rsidRPr="00E86998">
        <w:rPr>
          <w:sz w:val="28"/>
          <w:szCs w:val="28"/>
        </w:rPr>
        <w:t>энергоснабжающей</w:t>
      </w:r>
      <w:r w:rsidRPr="00E86998">
        <w:rPr>
          <w:sz w:val="28"/>
          <w:szCs w:val="28"/>
        </w:rPr>
        <w:t xml:space="preserve"> организации и утверждается общим собранием потребителей электроэнергии. Оплата осуществляется согласно п. 3.2 данного договора.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Так, из пункта 3.2 договора следует, что расчетный период для оплаты гражданином переданной электроэнергии устанавливается ежемесячно с 5 по 10 число текущего расчетного месяца, расчетный период для оплаты гражданином эксплуатационных расходов устанавливается ежегодный, оплата в течени</w:t>
      </w:r>
      <w:r w:rsidRPr="00E86998">
        <w:rPr>
          <w:sz w:val="28"/>
          <w:szCs w:val="28"/>
        </w:rPr>
        <w:t>и</w:t>
      </w:r>
      <w:r w:rsidRPr="00E86998">
        <w:rPr>
          <w:sz w:val="28"/>
          <w:szCs w:val="28"/>
        </w:rPr>
        <w:t xml:space="preserve"> текущего календарного года.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В пункте 3.6 указанного договора также говорится, что начисления для оплаты потребленной энергии производятся в соответствии с действующими на момент оплаты тарифами, установленными в соответствии с действующим законодательством, с учетом потерь, согласно решениям общего собрания членов кооператива.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Из пункта 4.9 договора следует, что кооператив вправе заявить о существенном нарушении договора гражданином при неоплате гражданином потребленной энергии за два расчетных периода, с составлением соответствующего акта сверки взаиморасчетов.</w:t>
      </w:r>
    </w:p>
    <w:p w:rsidR="003F50F0" w:rsidRPr="00E86998" w:rsidP="003F50F0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Согласно пункта</w:t>
      </w:r>
      <w:r w:rsidRPr="00E86998">
        <w:rPr>
          <w:sz w:val="28"/>
          <w:szCs w:val="28"/>
        </w:rPr>
        <w:t xml:space="preserve"> 3.10 периодом расчетов считается один календарный месяц.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В пункт 31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</w:t>
      </w:r>
      <w:r w:rsidRPr="00E86998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домов») введен </w:t>
      </w:r>
      <w:r w:rsidRPr="00E86998">
        <w:rPr>
          <w:sz w:val="28"/>
          <w:szCs w:val="28"/>
        </w:rPr>
        <w:t>пп</w:t>
      </w:r>
      <w:r w:rsidRPr="00E86998">
        <w:rPr>
          <w:sz w:val="28"/>
          <w:szCs w:val="28"/>
        </w:rPr>
        <w:t>. «е(1)» постановлением Правительства РФ от 16.04.2013 № 344, в котором указывалось до 1 января 2019 г., что Исполнитель обязан</w:t>
      </w:r>
      <w:r w:rsidRPr="00E8699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осуществлять не реже 1 раза в 6 месяцев снятие показаний индивидуальных, общих (квартирных), комнатных приборов учета (распределителей), установленных вне жилых (нежилых) помещений, проверку состояния таких приборов учета (если договором, содержащим положения о предоставлении коммунальных услуг, и (или) решениями общего собрания собственников помещений в многоквартирном доме не установлен иной порядок снятия показаний таких приборов учета).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Таким образом, законодательно закрепленная обязанность осуществлять не реже 1 раза в 6 месяцев снятие показаний приборов учета корреспондируется и в заключенном между сторонами договоре.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 xml:space="preserve">членами комиссии СНТ «Акташ» подписан акт осмотра прибора учета электроэнергии на садовом земельном участке №381Б, в котором указан размер показаний прибора учета 5002,2 </w:t>
      </w:r>
      <w:r w:rsidRPr="00E86998">
        <w:rPr>
          <w:sz w:val="28"/>
          <w:szCs w:val="28"/>
        </w:rPr>
        <w:t>кВТ</w:t>
      </w:r>
      <w:r w:rsidRPr="00E86998">
        <w:rPr>
          <w:sz w:val="28"/>
          <w:szCs w:val="28"/>
        </w:rPr>
        <w:t>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Таким образом, </w:t>
      </w:r>
      <w:r w:rsidRPr="00E86998">
        <w:rPr>
          <w:sz w:val="28"/>
          <w:szCs w:val="28"/>
        </w:rPr>
        <w:t>согласно пояснений</w:t>
      </w:r>
      <w:r w:rsidRPr="00E86998">
        <w:rPr>
          <w:sz w:val="28"/>
          <w:szCs w:val="28"/>
        </w:rPr>
        <w:t xml:space="preserve"> ответчика и самого истца, в период с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показания приборов учета не снимались.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Сведений о том, что ответчик </w:t>
      </w:r>
      <w:r w:rsidRPr="00E86998">
        <w:rPr>
          <w:sz w:val="28"/>
          <w:szCs w:val="28"/>
        </w:rPr>
        <w:t>чинила препятствия в снятии показаний в материалах дела не имеется</w:t>
      </w:r>
      <w:r w:rsidRPr="00E86998">
        <w:rPr>
          <w:sz w:val="28"/>
          <w:szCs w:val="28"/>
        </w:rPr>
        <w:t xml:space="preserve"> и истцом на это не указывается. Объективных причин нарушения со своей стороны условий договора о снятии показаний не реже двух раз в год истец не представил.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При этом</w:t>
      </w:r>
      <w:r w:rsidRPr="00E86998">
        <w:rPr>
          <w:sz w:val="28"/>
          <w:szCs w:val="28"/>
        </w:rPr>
        <w:t>,</w:t>
      </w:r>
      <w:r w:rsidRPr="00E86998">
        <w:rPr>
          <w:sz w:val="28"/>
          <w:szCs w:val="28"/>
        </w:rPr>
        <w:t xml:space="preserve"> из сути пункта «ж» Правил предоставления коммунальных услуг собственникам и пользователям помещений в многоквартирных домах и жилых домов следует, что показания приборов учета используются при расчете размера платы за коммунальные услуги за тот расчетный период, за который были сняты показания.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Однако, как установлено судом, свыше 8 лет показания у ответчика истцом не снимались, что противоречит установленным законом обязанностям, которые бы позволили надлежащим образом произвести расчет коммунальной услуги за тот период, в который они были бы сняты.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 xml:space="preserve">от СНТ «Акташ» в адрес </w:t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Д.А. направлена претензия об оплате задолженности 3409 </w:t>
      </w:r>
      <w:r w:rsidRPr="00E86998">
        <w:rPr>
          <w:sz w:val="28"/>
          <w:szCs w:val="28"/>
        </w:rPr>
        <w:t>кВТ</w:t>
      </w:r>
      <w:r w:rsidRPr="00E86998">
        <w:rPr>
          <w:sz w:val="28"/>
          <w:szCs w:val="28"/>
        </w:rPr>
        <w:t xml:space="preserve"> на сумму 23008,48 руб. (т. 1 </w:t>
      </w:r>
      <w:r w:rsidRPr="00E86998">
        <w:rPr>
          <w:sz w:val="28"/>
          <w:szCs w:val="28"/>
        </w:rPr>
        <w:t>л.д</w:t>
      </w:r>
      <w:r w:rsidRPr="00E86998">
        <w:rPr>
          <w:sz w:val="28"/>
          <w:szCs w:val="28"/>
        </w:rPr>
        <w:t>. 10).</w:t>
      </w:r>
    </w:p>
    <w:p w:rsidR="000B20D1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Д.А. произведена оплата задолженности на сумму 10363,36 руб., о чем свидетельствует квитанция 2382504628.</w:t>
      </w:r>
    </w:p>
    <w:p w:rsidR="003F50F0" w:rsidRPr="00E86998" w:rsidP="000B20D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 w:rsidR="000B20D1">
        <w:rPr>
          <w:sz w:val="28"/>
          <w:szCs w:val="28"/>
        </w:rPr>
        <w:tab/>
        <w:t xml:space="preserve">от </w:t>
      </w:r>
      <w:r w:rsidRPr="00E86998" w:rsidR="000B20D1">
        <w:rPr>
          <w:sz w:val="28"/>
          <w:szCs w:val="28"/>
        </w:rPr>
        <w:t>Загребельской</w:t>
      </w:r>
      <w:r w:rsidRPr="00E86998" w:rsidR="000B20D1">
        <w:rPr>
          <w:sz w:val="28"/>
          <w:szCs w:val="28"/>
        </w:rPr>
        <w:t xml:space="preserve"> Д.А. направлен ответ в СНТ «Акташ» (т. 1 </w:t>
      </w:r>
      <w:r w:rsidRPr="00E86998" w:rsidR="000B20D1">
        <w:rPr>
          <w:sz w:val="28"/>
          <w:szCs w:val="28"/>
        </w:rPr>
        <w:t>л.д</w:t>
      </w:r>
      <w:r w:rsidRPr="00E86998" w:rsidR="000B20D1">
        <w:rPr>
          <w:sz w:val="28"/>
          <w:szCs w:val="28"/>
        </w:rPr>
        <w:t xml:space="preserve">. 11-12) о том, что после удовлетворения протеста прокуратуры, на основании протокола Правления СГЖ СВТ-3 «Акташ» от </w:t>
      </w:r>
      <w:r w:rsidRPr="007959E8">
        <w:rPr>
          <w:sz w:val="28"/>
          <w:szCs w:val="28"/>
        </w:rPr>
        <w:t>(данные изъяты)</w:t>
      </w:r>
      <w:r w:rsidRPr="00E86998" w:rsidR="000B20D1">
        <w:rPr>
          <w:sz w:val="28"/>
          <w:szCs w:val="28"/>
        </w:rPr>
        <w:t xml:space="preserve"> в части запрета на ведение торговой деятельности на территории СГЖ СВТ-3 «Акташ», в том же году временный объект торговли прекратил свою деятельность, потребление энергии прекратилось.</w:t>
      </w:r>
      <w:r w:rsidRPr="00E86998" w:rsidR="000B20D1">
        <w:rPr>
          <w:sz w:val="28"/>
          <w:szCs w:val="28"/>
        </w:rPr>
        <w:t xml:space="preserve"> Произведена оплата на сумму 10363,36 руб. с применением тарифа, действующего в </w:t>
      </w:r>
      <w:r w:rsidRPr="007959E8">
        <w:rPr>
          <w:sz w:val="28"/>
          <w:szCs w:val="28"/>
        </w:rPr>
        <w:t>(данные изъяты)</w:t>
      </w:r>
      <w:r w:rsidRPr="00E86998" w:rsidR="000B20D1">
        <w:rPr>
          <w:sz w:val="28"/>
          <w:szCs w:val="28"/>
        </w:rPr>
        <w:t>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Учитывая, что решением Правления СПК «СВТ-3 «Акташ» от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Д.А. был предоставлен земельный участок для размещения временного объекта торговли - магазина, и на основании протеста прокуратуры и протокола правления СПК «СВТ-3 «Акташ» </w:t>
      </w:r>
      <w:r w:rsidRPr="00E86998">
        <w:rPr>
          <w:sz w:val="28"/>
          <w:szCs w:val="28"/>
        </w:rPr>
        <w:t>от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>временный объект торговли ответчика прекратил свою деятельность, прихожу к выводу, что фактической датой окончания потребления электрической энергии явилась дата окончания деятельности объекта торговли.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В силу подпункта «б» пункта 59 Правил в случае непредставления потребителем</w:t>
      </w:r>
      <w:r w:rsidRPr="00E86998">
        <w:rPr>
          <w:sz w:val="28"/>
          <w:szCs w:val="28"/>
        </w:rPr>
        <w:tab/>
        <w:t>показаний индивидуального,</w:t>
      </w:r>
      <w:r w:rsidRPr="00E86998">
        <w:rPr>
          <w:sz w:val="28"/>
          <w:szCs w:val="28"/>
        </w:rPr>
        <w:tab/>
        <w:t>общего</w:t>
      </w:r>
      <w:r w:rsidRPr="00E86998">
        <w:rPr>
          <w:sz w:val="28"/>
          <w:szCs w:val="28"/>
        </w:rPr>
        <w:tab/>
        <w:t>(квартирного),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комнатного прибора учета за расчетный период в сроки, установленные Правилами, или договором, содержащим положения о предоставлении коммунальных услуг, или решением общего собрания собственников помещений в многоквартирном доме, - начиная с расчетного периода, за который потребителем не представлены показания прибора учета до расчетного периода (включительно), за который потребитель представил исполнителю показания прибора учета, но не более 3 расчетных периодов подряд (за исключением</w:t>
      </w:r>
      <w:r w:rsidRPr="00E8699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коммунальной услуги по электроснабжению в предусмотренных пунктом 80(1) Правил случаях), плата за коммунальную услугу, предоставленную потребителю в жилом или нежилом помещении за расчетный период, определяется исходя из рассчитанного среднемесячного объема потребления коммунального ресурса потребителем, определенного по показаниям индивидуального или общего (квартирного) прибора учета за период не менее 6 месяцев (для отопления - исходя из среднемесячного за отопительный период объема потребления</w:t>
      </w:r>
      <w:r w:rsidRPr="00E86998">
        <w:rPr>
          <w:sz w:val="28"/>
          <w:szCs w:val="28"/>
        </w:rPr>
        <w:t xml:space="preserve"> </w:t>
      </w:r>
      <w:r w:rsidRPr="00E86998">
        <w:rPr>
          <w:sz w:val="28"/>
          <w:szCs w:val="28"/>
        </w:rPr>
        <w:t>в случаях, когда в соответствии с пунктом 42(1) Правил при определении размера платы за отопление используются показания индивидуального или общего (квартирного) прибора учета), а если период работы прибора учета составил меньше 6 месяцев, - то за фактический период работы прибора учета, но не менее 3 месяцев (для отопления - не менее 3 месяцев отопительного периода в случаях, когда в соответствии с</w:t>
      </w:r>
      <w:r w:rsidRPr="00E86998">
        <w:rPr>
          <w:sz w:val="28"/>
          <w:szCs w:val="28"/>
        </w:rPr>
        <w:t xml:space="preserve"> пунктом 42(1) Правил при определении размера платы за отопление используются показания индивидуального или общего (квартирного) прибора учета).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Абзацем первым пункта 60 Правил предусмотрено, что по истечении предельного количества расчетных периодов, указанных в пункте 59 Правил, за которые плата за коммунальную услугу определяется по данным, предусмотренным указанным пунктом, плата за коммунальную услугу, предоставленную в жилое помещение, рассчитывается в соответствии с пунктом 42 Правил в случаях, предусмотренных подпунктами «а» и «в» пункта 59 Правил, исходя из нормативов потребления коммунальных</w:t>
      </w:r>
      <w:r w:rsidRPr="00E86998">
        <w:rPr>
          <w:sz w:val="28"/>
          <w:szCs w:val="28"/>
        </w:rPr>
        <w:t xml:space="preserve"> услуг с применением повышающего коэффициента, величина которого принимается </w:t>
      </w:r>
      <w:r w:rsidRPr="00E86998">
        <w:rPr>
          <w:sz w:val="28"/>
          <w:szCs w:val="28"/>
        </w:rPr>
        <w:t>равной</w:t>
      </w:r>
      <w:r w:rsidRPr="00E86998">
        <w:rPr>
          <w:sz w:val="28"/>
          <w:szCs w:val="28"/>
        </w:rPr>
        <w:t xml:space="preserve"> 1,5, а в случаях, предусмотренных подпунктом «б» пункта 59 Правил, исходя из нормативов потребления коммунальных услуг. 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Согласно пункта 1.1 постановления Совета министров Республики Крым от 27.06.2014 № 166 «Об утверждении Положения о Государственном комитете по ценам и тарифам Республики Крым» Государственный комитет по ценам и тарифам Республики Крым является исполнительным органом Республики Крым в области государственного регулирования цен (тарифов), уполномоченным осуществлять государственное регулирование цен (тарифов) на товары (услуги) организаций, осуществляющих регулируемую деятельность на территории Республики Крым, а</w:t>
      </w:r>
      <w:r w:rsidRPr="00E86998">
        <w:rPr>
          <w:sz w:val="28"/>
          <w:szCs w:val="28"/>
        </w:rPr>
        <w:t xml:space="preserve"> также </w:t>
      </w:r>
      <w:r w:rsidRPr="00E86998">
        <w:rPr>
          <w:sz w:val="28"/>
          <w:szCs w:val="28"/>
        </w:rPr>
        <w:t>контроль за</w:t>
      </w:r>
      <w:r w:rsidRPr="00E86998">
        <w:rPr>
          <w:sz w:val="28"/>
          <w:szCs w:val="28"/>
        </w:rPr>
        <w:t xml:space="preserve"> их применением в соответствии с законодательством Российской Федерации и Республики Крым.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Согласно пояснений представителя истца, СПК «СВТ-3 «Акташ» (СНТ «Акташ») в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установило тариф с </w:t>
      </w:r>
      <w:r w:rsidRPr="007959E8" w:rsid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 - 3,04 руб. за </w:t>
      </w:r>
      <w:r w:rsidRPr="00E86998">
        <w:rPr>
          <w:sz w:val="28"/>
          <w:szCs w:val="28"/>
        </w:rPr>
        <w:t>кВТ</w:t>
      </w:r>
      <w:r w:rsidRPr="00E86998">
        <w:rPr>
          <w:sz w:val="28"/>
          <w:szCs w:val="28"/>
        </w:rPr>
        <w:t xml:space="preserve">, </w:t>
      </w:r>
      <w:r w:rsidRPr="00E86998">
        <w:rPr>
          <w:sz w:val="28"/>
          <w:szCs w:val="28"/>
        </w:rPr>
        <w:t>с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 xml:space="preserve">- 3,38 руб. за </w:t>
      </w:r>
      <w:r w:rsidRPr="00E86998">
        <w:rPr>
          <w:sz w:val="28"/>
          <w:szCs w:val="28"/>
        </w:rPr>
        <w:t>кВТ</w:t>
      </w:r>
      <w:r w:rsidRPr="00E86998">
        <w:rPr>
          <w:sz w:val="28"/>
          <w:szCs w:val="28"/>
        </w:rPr>
        <w:t>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>Государственным комитетом по ценам и тарифам Республики Крым был издан приказ № 59/1 «Об установлении тарифов на электрическую энергию для населения и потребителей, приравненных к категории «население», по Республике Крым», который опубликован на официальном сайте Комитета с указанием тарифов.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Указанный приказ регулировал тариф на весь 2018 год.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Производя расчеты, </w:t>
      </w:r>
      <w:r w:rsidRPr="00E86998" w:rsidR="00C85C9A">
        <w:rPr>
          <w:sz w:val="28"/>
          <w:szCs w:val="28"/>
        </w:rPr>
        <w:t>прихожу к следующему:</w:t>
      </w:r>
      <w:r w:rsidRPr="00E86998">
        <w:rPr>
          <w:sz w:val="28"/>
          <w:szCs w:val="28"/>
        </w:rPr>
        <w:t xml:space="preserve"> 3409 кВт * 3,04 руб. = 10363,36 руб.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Д.А. произведена оплата задолженности на сумму 10363,36 руб., о чем свидетельствует квитанция 2382504628.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Кроме того, ответчик просит применить последствия пропуска срока исковой давности, в связи с чем, считаю необходимым указать следующее.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В соответствии с ч. 1 ст. 196 ГПК РФ общий срок исковой давности составляет три года со дня, определяемого в соответствии со статьей 200 настоящего Кодекса.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Из положений </w:t>
      </w:r>
      <w:r w:rsidRPr="00E86998">
        <w:rPr>
          <w:sz w:val="28"/>
          <w:szCs w:val="28"/>
        </w:rPr>
        <w:t>ч.ч</w:t>
      </w:r>
      <w:r w:rsidRPr="00E86998">
        <w:rPr>
          <w:sz w:val="28"/>
          <w:szCs w:val="28"/>
        </w:rPr>
        <w:t>. 1, 3 ст. 204 ГПК РФ следует, что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4E0B71" w:rsidRPr="00E86998" w:rsidP="004E0B71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Если после оставления иска без рассмотрения </w:t>
      </w:r>
      <w:r w:rsidRPr="00E86998">
        <w:rPr>
          <w:sz w:val="28"/>
          <w:szCs w:val="28"/>
        </w:rPr>
        <w:t>неистекшая</w:t>
      </w:r>
      <w:r w:rsidRPr="00E86998">
        <w:rPr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месяцев, за исключением случаев, если основанием оставления иска без рассмотрения послужили действия (бездействие) истца.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Кроме того, согласно разъяснений, указанных пунктами 17</w:t>
      </w:r>
      <w:r w:rsidRPr="00E86998">
        <w:rPr>
          <w:sz w:val="28"/>
          <w:szCs w:val="28"/>
        </w:rPr>
        <w:t xml:space="preserve">, </w:t>
      </w:r>
      <w:r w:rsidRPr="00E86998">
        <w:rPr>
          <w:sz w:val="28"/>
          <w:szCs w:val="28"/>
        </w:rPr>
        <w:t>18</w:t>
      </w:r>
      <w:r w:rsidRPr="00E86998">
        <w:rPr>
          <w:sz w:val="28"/>
          <w:szCs w:val="28"/>
        </w:rPr>
        <w:t xml:space="preserve"> п</w:t>
      </w:r>
      <w:r w:rsidRPr="00E86998">
        <w:rPr>
          <w:sz w:val="28"/>
          <w:szCs w:val="28"/>
        </w:rPr>
        <w:t>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Федерации об исковой давности» в силу пункта 1 статьи 204 ГК РФ срок исковой давности не течет с момента обращения за судебной защитой, в том числе</w:t>
      </w:r>
      <w:r w:rsidRPr="00E86998">
        <w:rPr>
          <w:sz w:val="28"/>
          <w:szCs w:val="28"/>
        </w:rPr>
        <w:t>,</w:t>
      </w:r>
      <w:r w:rsidRPr="00E86998">
        <w:rPr>
          <w:sz w:val="28"/>
          <w:szCs w:val="28"/>
        </w:rPr>
        <w:t xml:space="preserve"> со дня подачи заявления</w:t>
      </w:r>
      <w:r w:rsidRPr="00E86998">
        <w:rPr>
          <w:sz w:val="28"/>
          <w:szCs w:val="28"/>
        </w:rPr>
        <w:t xml:space="preserve"> о</w:t>
      </w:r>
      <w:r w:rsidRPr="00E86998">
        <w:rPr>
          <w:sz w:val="28"/>
          <w:szCs w:val="28"/>
        </w:rPr>
        <w:t xml:space="preserve"> вынесении судебного приказа либо обращения в третейский суд, если такое заявление было принято к производству.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Днем обращения в суд считается день, когда исковое заявление сдано в организацию почтовой связи либо подано непосредственно в суд, в том числе, путем заполнения в установленном порядке формы, размещенной на официальном сайте суда в сети «Интернет».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E86998">
        <w:rPr>
          <w:sz w:val="28"/>
          <w:szCs w:val="28"/>
        </w:rPr>
        <w:t>неистекшая</w:t>
      </w:r>
      <w:r w:rsidRPr="00E86998">
        <w:rPr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ab/>
        <w:t xml:space="preserve">года мировым судьёй вынесено определение об отмене судебного приказа вынесенного по заявлению СНТ «Акташ» о взыскании задолженности с </w:t>
      </w:r>
      <w:r w:rsidRPr="00E86998">
        <w:rPr>
          <w:sz w:val="28"/>
          <w:szCs w:val="28"/>
        </w:rPr>
        <w:t>Загребельской</w:t>
      </w:r>
      <w:r w:rsidRPr="00E86998">
        <w:rPr>
          <w:sz w:val="28"/>
          <w:szCs w:val="28"/>
        </w:rPr>
        <w:t xml:space="preserve"> Д.А., на основании чего истец в шестимесячный срок, а именно </w:t>
      </w: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, обратилось с настоящим исковым заявлением в суд. Следовательно, в настоящем деле </w:t>
      </w:r>
      <w:r w:rsidRPr="00E86998">
        <w:rPr>
          <w:sz w:val="28"/>
          <w:szCs w:val="28"/>
        </w:rPr>
        <w:t>неистекшая</w:t>
      </w:r>
      <w:r w:rsidRPr="00E86998">
        <w:rPr>
          <w:sz w:val="28"/>
          <w:szCs w:val="28"/>
        </w:rPr>
        <w:t xml:space="preserve"> часть срока удлиняется до шести </w:t>
      </w:r>
      <w:r w:rsidRPr="00E86998">
        <w:rPr>
          <w:sz w:val="28"/>
          <w:szCs w:val="28"/>
        </w:rPr>
        <w:t>месяцев</w:t>
      </w:r>
      <w:r w:rsidRPr="00E86998">
        <w:rPr>
          <w:sz w:val="28"/>
          <w:szCs w:val="28"/>
        </w:rPr>
        <w:t xml:space="preserve"> и срок давности считается с даты подачи заявления о вынесении судебного приказа.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С заявлением о вынесении судебного приказа СНТ «Акташ» обратилось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 xml:space="preserve">, в связи с чем, к взысканию может быть обращена задолженность, образовавшаяся после </w:t>
      </w:r>
      <w:r w:rsidRPr="007959E8">
        <w:rPr>
          <w:sz w:val="28"/>
          <w:szCs w:val="28"/>
        </w:rPr>
        <w:t>(данные изъяты)</w:t>
      </w:r>
      <w:r w:rsidRPr="00E86998">
        <w:rPr>
          <w:sz w:val="28"/>
          <w:szCs w:val="28"/>
        </w:rPr>
        <w:t>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Таким образом, прихожу к выводу, что исковое заявление удовлетворению не подлежит в полном объеме.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Согласно ч. 1 ст. 88 ГПК РФ судебные расходы состоят из государственной пошлины и издержек, связанных с рассмотрением дела.</w:t>
      </w:r>
    </w:p>
    <w:p w:rsidR="00C85C9A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На основании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</w:t>
      </w:r>
    </w:p>
    <w:p w:rsidR="004E0B71" w:rsidRPr="00E86998" w:rsidP="00C85C9A">
      <w:pPr>
        <w:pStyle w:val="NoSpacing"/>
        <w:ind w:firstLine="709"/>
        <w:jc w:val="both"/>
        <w:rPr>
          <w:sz w:val="28"/>
          <w:szCs w:val="28"/>
        </w:rPr>
      </w:pPr>
      <w:r w:rsidRPr="00E86998">
        <w:rPr>
          <w:sz w:val="28"/>
          <w:szCs w:val="28"/>
        </w:rPr>
        <w:t>Учитывая указанные нормы права, уплаченная истцом государственная пошлина, взысканию с ответчика не подлежит.</w:t>
      </w:r>
    </w:p>
    <w:p w:rsidR="00040A2F" w:rsidRPr="00E86998" w:rsidP="00EB61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99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E86998" w:rsidR="00BD41ED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уководствуясь ст. ст. 98</w:t>
      </w:r>
      <w:r w:rsidRPr="00E86998" w:rsidR="002514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86998" w:rsidR="00BD41ED">
        <w:rPr>
          <w:rFonts w:ascii="Times New Roman" w:hAnsi="Times New Roman" w:cs="Times New Roman"/>
          <w:sz w:val="28"/>
          <w:szCs w:val="28"/>
        </w:rPr>
        <w:t> </w:t>
      </w:r>
      <w:r w:rsidRPr="00E86998" w:rsidR="0079496A">
        <w:rPr>
          <w:rFonts w:ascii="Times New Roman" w:hAnsi="Times New Roman" w:cs="Times New Roman"/>
          <w:sz w:val="28"/>
          <w:szCs w:val="28"/>
        </w:rPr>
        <w:t>194-199</w:t>
      </w:r>
      <w:r w:rsidRPr="00E86998" w:rsidR="00BD41ED">
        <w:rPr>
          <w:rFonts w:ascii="Times New Roman" w:hAnsi="Times New Roman" w:cs="Times New Roman"/>
          <w:sz w:val="28"/>
          <w:szCs w:val="28"/>
          <w:shd w:val="clear" w:color="auto" w:fill="FFFFFF"/>
        </w:rPr>
        <w:t>, мировой судья</w:t>
      </w:r>
      <w:r w:rsidRPr="00E86998">
        <w:rPr>
          <w:rFonts w:ascii="Times New Roman" w:hAnsi="Times New Roman" w:cs="Times New Roman"/>
          <w:sz w:val="28"/>
          <w:szCs w:val="28"/>
          <w:shd w:val="clear" w:color="auto" w:fill="FFFFFF"/>
        </w:rPr>
        <w:t>, -</w:t>
      </w:r>
    </w:p>
    <w:p w:rsidR="00040A2F" w:rsidRPr="00E86998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E86998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98">
        <w:rPr>
          <w:rFonts w:ascii="Times New Roman" w:hAnsi="Times New Roman" w:cs="Times New Roman"/>
          <w:b/>
          <w:sz w:val="28"/>
          <w:szCs w:val="28"/>
        </w:rPr>
        <w:t>Р</w:t>
      </w:r>
      <w:r w:rsidRPr="00E86998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E86998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50" w:rsidRPr="00E86998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998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6998" w:rsidR="00040A2F">
        <w:rPr>
          <w:rFonts w:ascii="Times New Roman" w:hAnsi="Times New Roman" w:cs="Times New Roman"/>
          <w:sz w:val="28"/>
          <w:szCs w:val="28"/>
        </w:rPr>
        <w:tab/>
      </w:r>
      <w:r w:rsidRPr="00E86998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садового некоммерческого товарищества «Акташ» к </w:t>
      </w:r>
      <w:r w:rsidRPr="00E86998">
        <w:rPr>
          <w:rFonts w:ascii="Times New Roman" w:hAnsi="Times New Roman" w:cs="Times New Roman"/>
          <w:sz w:val="28"/>
          <w:szCs w:val="28"/>
        </w:rPr>
        <w:t>Загребельской</w:t>
      </w:r>
      <w:r w:rsidRPr="00E86998">
        <w:rPr>
          <w:rFonts w:ascii="Times New Roman" w:hAnsi="Times New Roman" w:cs="Times New Roman"/>
          <w:sz w:val="28"/>
          <w:szCs w:val="28"/>
        </w:rPr>
        <w:t xml:space="preserve"> Дарье Артуровне о взыскании задолженности по электроэнергии</w:t>
      </w:r>
      <w:r w:rsidRPr="00E86998">
        <w:rPr>
          <w:sz w:val="28"/>
          <w:szCs w:val="28"/>
        </w:rPr>
        <w:t xml:space="preserve"> </w:t>
      </w:r>
      <w:r w:rsidRPr="00E86998">
        <w:rPr>
          <w:rFonts w:ascii="Times New Roman" w:hAnsi="Times New Roman" w:cs="Times New Roman"/>
          <w:sz w:val="28"/>
          <w:szCs w:val="28"/>
        </w:rPr>
        <w:t xml:space="preserve">на садовом участке </w:t>
      </w:r>
      <w:r w:rsidRPr="007959E8" w:rsidR="007959E8">
        <w:rPr>
          <w:rFonts w:ascii="Times New Roman" w:hAnsi="Times New Roman" w:cs="Times New Roman"/>
          <w:sz w:val="28"/>
          <w:szCs w:val="28"/>
        </w:rPr>
        <w:t>(данные изъяты)</w:t>
      </w:r>
      <w:r w:rsidRPr="00E86998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7959E8" w:rsidR="007959E8">
        <w:rPr>
          <w:rFonts w:ascii="Times New Roman" w:hAnsi="Times New Roman" w:cs="Times New Roman"/>
          <w:sz w:val="28"/>
          <w:szCs w:val="28"/>
        </w:rPr>
        <w:t>(данные изъяты)</w:t>
      </w:r>
      <w:r w:rsidRPr="00E86998">
        <w:rPr>
          <w:rFonts w:ascii="Times New Roman" w:hAnsi="Times New Roman" w:cs="Times New Roman"/>
          <w:sz w:val="28"/>
          <w:szCs w:val="28"/>
        </w:rPr>
        <w:t xml:space="preserve"> в сумме 12645 руб. 12 коп</w:t>
      </w:r>
      <w:r w:rsidRPr="00E86998">
        <w:rPr>
          <w:rFonts w:ascii="Times New Roman" w:hAnsi="Times New Roman" w:cs="Times New Roman"/>
          <w:sz w:val="28"/>
          <w:szCs w:val="28"/>
        </w:rPr>
        <w:t xml:space="preserve">., </w:t>
      </w:r>
      <w:r w:rsidRPr="00E86998">
        <w:rPr>
          <w:rFonts w:ascii="Times New Roman" w:hAnsi="Times New Roman" w:cs="Times New Roman"/>
          <w:sz w:val="28"/>
          <w:szCs w:val="28"/>
        </w:rPr>
        <w:t>а также расход</w:t>
      </w:r>
      <w:r w:rsidRPr="00E86998" w:rsidR="00EB6399">
        <w:rPr>
          <w:rFonts w:ascii="Times New Roman" w:hAnsi="Times New Roman" w:cs="Times New Roman"/>
          <w:sz w:val="28"/>
          <w:szCs w:val="28"/>
        </w:rPr>
        <w:t>ов</w:t>
      </w:r>
      <w:r w:rsidRPr="00E86998">
        <w:rPr>
          <w:rFonts w:ascii="Times New Roman" w:hAnsi="Times New Roman" w:cs="Times New Roman"/>
          <w:sz w:val="28"/>
          <w:szCs w:val="28"/>
        </w:rPr>
        <w:t xml:space="preserve"> по уплате государственной пошлины в размере 6000 рублей 00 копеек</w:t>
      </w:r>
      <w:r w:rsidRPr="00E86998" w:rsidR="00EB6399"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076699" w:rsidRPr="00E86998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998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E86998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86998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76699" w:rsidRPr="00E86998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99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E86998">
        <w:rPr>
          <w:rFonts w:ascii="Times New Roman" w:hAnsi="Times New Roman" w:cs="Times New Roman"/>
          <w:sz w:val="28"/>
          <w:szCs w:val="28"/>
        </w:rPr>
        <w:t xml:space="preserve">  судебного  участка № 62   Ленинского  судебного   района</w:t>
      </w:r>
      <w:r w:rsidRPr="00E86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076699" w:rsidRPr="00E86998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699" w:rsidRPr="00E86998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4DEB" w:rsidRPr="00E86998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99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86998" w:rsidR="00FE0399">
        <w:rPr>
          <w:rFonts w:ascii="Times New Roman" w:hAnsi="Times New Roman" w:cs="Times New Roman"/>
          <w:sz w:val="28"/>
          <w:szCs w:val="28"/>
        </w:rPr>
        <w:tab/>
      </w:r>
      <w:r w:rsidRPr="00E86998" w:rsidR="00FE0399">
        <w:rPr>
          <w:rFonts w:ascii="Times New Roman" w:hAnsi="Times New Roman" w:cs="Times New Roman"/>
          <w:sz w:val="28"/>
          <w:szCs w:val="28"/>
        </w:rPr>
        <w:tab/>
      </w:r>
      <w:r w:rsidRPr="00E86998" w:rsidR="00FE0399">
        <w:rPr>
          <w:rFonts w:ascii="Times New Roman" w:hAnsi="Times New Roman" w:cs="Times New Roman"/>
          <w:sz w:val="28"/>
          <w:szCs w:val="28"/>
        </w:rPr>
        <w:tab/>
      </w:r>
      <w:r w:rsidRPr="00E86998" w:rsidR="004B2EC9">
        <w:rPr>
          <w:rFonts w:ascii="Times New Roman" w:hAnsi="Times New Roman" w:cs="Times New Roman"/>
          <w:sz w:val="28"/>
          <w:szCs w:val="28"/>
        </w:rPr>
        <w:tab/>
      </w:r>
      <w:r w:rsidRPr="00E86998" w:rsidR="00FE0399">
        <w:rPr>
          <w:rFonts w:ascii="Times New Roman" w:hAnsi="Times New Roman" w:cs="Times New Roman"/>
          <w:sz w:val="28"/>
          <w:szCs w:val="28"/>
        </w:rPr>
        <w:tab/>
      </w:r>
      <w:r w:rsidRPr="00E86998" w:rsidR="00FE0399">
        <w:rPr>
          <w:rFonts w:ascii="Times New Roman" w:hAnsi="Times New Roman" w:cs="Times New Roman"/>
          <w:sz w:val="28"/>
          <w:szCs w:val="28"/>
        </w:rPr>
        <w:tab/>
      </w:r>
      <w:r w:rsidRPr="00E86998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144DEB" w:rsidRPr="00E86998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4DEB" w:rsidRPr="00E86998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998">
        <w:rPr>
          <w:rFonts w:ascii="Times New Roman" w:hAnsi="Times New Roman" w:cs="Times New Roman"/>
          <w:sz w:val="28"/>
          <w:szCs w:val="28"/>
        </w:rPr>
        <w:t xml:space="preserve">Мотивированное решение составлено </w:t>
      </w:r>
      <w:r w:rsidRPr="00E86998" w:rsidR="003C0BCB">
        <w:rPr>
          <w:rFonts w:ascii="Times New Roman" w:hAnsi="Times New Roman" w:cs="Times New Roman"/>
          <w:sz w:val="28"/>
          <w:szCs w:val="28"/>
        </w:rPr>
        <w:t xml:space="preserve">17 ноября </w:t>
      </w:r>
      <w:r w:rsidRPr="00E86998">
        <w:rPr>
          <w:rFonts w:ascii="Times New Roman" w:hAnsi="Times New Roman" w:cs="Times New Roman"/>
          <w:sz w:val="28"/>
          <w:szCs w:val="28"/>
        </w:rPr>
        <w:t>2025 года.</w:t>
      </w:r>
    </w:p>
    <w:sectPr w:rsidSect="0079780E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6255790"/>
      <w:docPartObj>
        <w:docPartGallery w:val="Page Numbers (Top of Page)"/>
        <w:docPartUnique/>
      </w:docPartObj>
    </w:sdtPr>
    <w:sdtContent>
      <w:p w:rsidR="007978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9E8">
          <w:rPr>
            <w:noProof/>
          </w:rPr>
          <w:t>8</w:t>
        </w:r>
        <w:r>
          <w:fldChar w:fldCharType="end"/>
        </w:r>
      </w:p>
    </w:sdtContent>
  </w:sdt>
  <w:p w:rsidR="00797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04099"/>
    <w:rsid w:val="00005F3F"/>
    <w:rsid w:val="00012C97"/>
    <w:rsid w:val="00012CE9"/>
    <w:rsid w:val="00012F5B"/>
    <w:rsid w:val="00024C37"/>
    <w:rsid w:val="000374E7"/>
    <w:rsid w:val="00040A2F"/>
    <w:rsid w:val="000434BE"/>
    <w:rsid w:val="000441BC"/>
    <w:rsid w:val="00051584"/>
    <w:rsid w:val="00053BEC"/>
    <w:rsid w:val="0005767B"/>
    <w:rsid w:val="00057DB6"/>
    <w:rsid w:val="000669A8"/>
    <w:rsid w:val="000705C8"/>
    <w:rsid w:val="000716E0"/>
    <w:rsid w:val="00073493"/>
    <w:rsid w:val="00076699"/>
    <w:rsid w:val="000B20D1"/>
    <w:rsid w:val="000B6897"/>
    <w:rsid w:val="000D243F"/>
    <w:rsid w:val="000E0264"/>
    <w:rsid w:val="000E0BA0"/>
    <w:rsid w:val="000E328A"/>
    <w:rsid w:val="000E5BF3"/>
    <w:rsid w:val="000F51E3"/>
    <w:rsid w:val="000F5682"/>
    <w:rsid w:val="000F5A6D"/>
    <w:rsid w:val="00112BE4"/>
    <w:rsid w:val="00122871"/>
    <w:rsid w:val="00133A38"/>
    <w:rsid w:val="00134762"/>
    <w:rsid w:val="00144DA7"/>
    <w:rsid w:val="00144DEB"/>
    <w:rsid w:val="0014707A"/>
    <w:rsid w:val="00150567"/>
    <w:rsid w:val="0015174E"/>
    <w:rsid w:val="00164629"/>
    <w:rsid w:val="0018298B"/>
    <w:rsid w:val="00182C52"/>
    <w:rsid w:val="00197E8D"/>
    <w:rsid w:val="001A169D"/>
    <w:rsid w:val="001A4DD0"/>
    <w:rsid w:val="001A7631"/>
    <w:rsid w:val="001A7D09"/>
    <w:rsid w:val="001B1882"/>
    <w:rsid w:val="001B7D6D"/>
    <w:rsid w:val="001C56F1"/>
    <w:rsid w:val="001C6EAE"/>
    <w:rsid w:val="001D384C"/>
    <w:rsid w:val="001D5A03"/>
    <w:rsid w:val="001D7B29"/>
    <w:rsid w:val="001E2852"/>
    <w:rsid w:val="001E40AA"/>
    <w:rsid w:val="001F47A5"/>
    <w:rsid w:val="00226474"/>
    <w:rsid w:val="00226DDA"/>
    <w:rsid w:val="00234129"/>
    <w:rsid w:val="002460D2"/>
    <w:rsid w:val="00251428"/>
    <w:rsid w:val="0025490C"/>
    <w:rsid w:val="00255078"/>
    <w:rsid w:val="002565E7"/>
    <w:rsid w:val="002725B8"/>
    <w:rsid w:val="002803B8"/>
    <w:rsid w:val="002808E8"/>
    <w:rsid w:val="00282079"/>
    <w:rsid w:val="0028662B"/>
    <w:rsid w:val="002A1693"/>
    <w:rsid w:val="002A3C74"/>
    <w:rsid w:val="002B15B1"/>
    <w:rsid w:val="002B5E57"/>
    <w:rsid w:val="002B64A5"/>
    <w:rsid w:val="002C4C08"/>
    <w:rsid w:val="002D722E"/>
    <w:rsid w:val="002E4576"/>
    <w:rsid w:val="002F482F"/>
    <w:rsid w:val="002F5AFB"/>
    <w:rsid w:val="002F63B3"/>
    <w:rsid w:val="002F7AE6"/>
    <w:rsid w:val="003023AA"/>
    <w:rsid w:val="003069DA"/>
    <w:rsid w:val="00326012"/>
    <w:rsid w:val="00331E9C"/>
    <w:rsid w:val="00334745"/>
    <w:rsid w:val="003460DE"/>
    <w:rsid w:val="00347752"/>
    <w:rsid w:val="00350313"/>
    <w:rsid w:val="00356840"/>
    <w:rsid w:val="003656D9"/>
    <w:rsid w:val="003713A2"/>
    <w:rsid w:val="00375B9A"/>
    <w:rsid w:val="00384566"/>
    <w:rsid w:val="0038524B"/>
    <w:rsid w:val="00385DFF"/>
    <w:rsid w:val="0039237B"/>
    <w:rsid w:val="00395417"/>
    <w:rsid w:val="003A4DE3"/>
    <w:rsid w:val="003A68C4"/>
    <w:rsid w:val="003B0A17"/>
    <w:rsid w:val="003C0BCB"/>
    <w:rsid w:val="003C10D1"/>
    <w:rsid w:val="003D082F"/>
    <w:rsid w:val="003D26B6"/>
    <w:rsid w:val="003E072B"/>
    <w:rsid w:val="003E0CBD"/>
    <w:rsid w:val="003E48CE"/>
    <w:rsid w:val="003F36D7"/>
    <w:rsid w:val="003F50F0"/>
    <w:rsid w:val="00402772"/>
    <w:rsid w:val="0041183A"/>
    <w:rsid w:val="00435011"/>
    <w:rsid w:val="00442ED8"/>
    <w:rsid w:val="0045541B"/>
    <w:rsid w:val="004613A5"/>
    <w:rsid w:val="0047318C"/>
    <w:rsid w:val="00487D89"/>
    <w:rsid w:val="00490CA6"/>
    <w:rsid w:val="004A198F"/>
    <w:rsid w:val="004A4C23"/>
    <w:rsid w:val="004B06FE"/>
    <w:rsid w:val="004B1FB5"/>
    <w:rsid w:val="004B2EC9"/>
    <w:rsid w:val="004B559A"/>
    <w:rsid w:val="004C5F56"/>
    <w:rsid w:val="004D04AA"/>
    <w:rsid w:val="004D514C"/>
    <w:rsid w:val="004D6DC2"/>
    <w:rsid w:val="004E0B71"/>
    <w:rsid w:val="004E28D4"/>
    <w:rsid w:val="004F3A92"/>
    <w:rsid w:val="004F6D3A"/>
    <w:rsid w:val="004F790B"/>
    <w:rsid w:val="0050617D"/>
    <w:rsid w:val="00507E50"/>
    <w:rsid w:val="00520A38"/>
    <w:rsid w:val="00531EFF"/>
    <w:rsid w:val="00534B0F"/>
    <w:rsid w:val="00543C65"/>
    <w:rsid w:val="00543DD5"/>
    <w:rsid w:val="00546575"/>
    <w:rsid w:val="00550DD1"/>
    <w:rsid w:val="00553FAE"/>
    <w:rsid w:val="00554BBB"/>
    <w:rsid w:val="00561701"/>
    <w:rsid w:val="00561B6E"/>
    <w:rsid w:val="00561D55"/>
    <w:rsid w:val="00564053"/>
    <w:rsid w:val="00564722"/>
    <w:rsid w:val="00565A22"/>
    <w:rsid w:val="005806E0"/>
    <w:rsid w:val="005875FD"/>
    <w:rsid w:val="005902E9"/>
    <w:rsid w:val="00590DB1"/>
    <w:rsid w:val="00594B1A"/>
    <w:rsid w:val="00597F71"/>
    <w:rsid w:val="005B1FFD"/>
    <w:rsid w:val="005B6A2D"/>
    <w:rsid w:val="005C29E7"/>
    <w:rsid w:val="005C3259"/>
    <w:rsid w:val="005C628A"/>
    <w:rsid w:val="005D2C7E"/>
    <w:rsid w:val="005D3CAE"/>
    <w:rsid w:val="005D6903"/>
    <w:rsid w:val="005E470F"/>
    <w:rsid w:val="005F331C"/>
    <w:rsid w:val="00603B24"/>
    <w:rsid w:val="0061017C"/>
    <w:rsid w:val="00615D89"/>
    <w:rsid w:val="006230A4"/>
    <w:rsid w:val="00630806"/>
    <w:rsid w:val="00644C26"/>
    <w:rsid w:val="00646755"/>
    <w:rsid w:val="00657434"/>
    <w:rsid w:val="00661256"/>
    <w:rsid w:val="00664B9D"/>
    <w:rsid w:val="0066541B"/>
    <w:rsid w:val="006739F0"/>
    <w:rsid w:val="00680ABD"/>
    <w:rsid w:val="00685B8F"/>
    <w:rsid w:val="006912B8"/>
    <w:rsid w:val="00693A1D"/>
    <w:rsid w:val="006A0B0F"/>
    <w:rsid w:val="006B311E"/>
    <w:rsid w:val="006C463E"/>
    <w:rsid w:val="006C4FDD"/>
    <w:rsid w:val="006D0335"/>
    <w:rsid w:val="006D38F2"/>
    <w:rsid w:val="006D7DCC"/>
    <w:rsid w:val="006E1E02"/>
    <w:rsid w:val="006E297C"/>
    <w:rsid w:val="006E64D1"/>
    <w:rsid w:val="006E69CB"/>
    <w:rsid w:val="006E7367"/>
    <w:rsid w:val="00703328"/>
    <w:rsid w:val="00713047"/>
    <w:rsid w:val="0071394B"/>
    <w:rsid w:val="00714F3A"/>
    <w:rsid w:val="00716488"/>
    <w:rsid w:val="0072152D"/>
    <w:rsid w:val="007300EC"/>
    <w:rsid w:val="00731D11"/>
    <w:rsid w:val="00735965"/>
    <w:rsid w:val="00747A23"/>
    <w:rsid w:val="00747A42"/>
    <w:rsid w:val="007516E0"/>
    <w:rsid w:val="007632EF"/>
    <w:rsid w:val="0076757C"/>
    <w:rsid w:val="007852B9"/>
    <w:rsid w:val="0079496A"/>
    <w:rsid w:val="007959E8"/>
    <w:rsid w:val="0079780E"/>
    <w:rsid w:val="007C476E"/>
    <w:rsid w:val="007C6A34"/>
    <w:rsid w:val="007C7A46"/>
    <w:rsid w:val="007D147E"/>
    <w:rsid w:val="007D3DE4"/>
    <w:rsid w:val="007E0AE4"/>
    <w:rsid w:val="007E2D54"/>
    <w:rsid w:val="007F7E11"/>
    <w:rsid w:val="00807E95"/>
    <w:rsid w:val="00816F5B"/>
    <w:rsid w:val="00835784"/>
    <w:rsid w:val="00844032"/>
    <w:rsid w:val="008454B4"/>
    <w:rsid w:val="0084701A"/>
    <w:rsid w:val="00853A68"/>
    <w:rsid w:val="00860082"/>
    <w:rsid w:val="00861CCC"/>
    <w:rsid w:val="00863216"/>
    <w:rsid w:val="0087320A"/>
    <w:rsid w:val="00875C2E"/>
    <w:rsid w:val="00885DDB"/>
    <w:rsid w:val="008950D0"/>
    <w:rsid w:val="008969C7"/>
    <w:rsid w:val="008A29CD"/>
    <w:rsid w:val="008A4214"/>
    <w:rsid w:val="008A57CD"/>
    <w:rsid w:val="008B26A6"/>
    <w:rsid w:val="008B3DF2"/>
    <w:rsid w:val="008C2E72"/>
    <w:rsid w:val="008C5000"/>
    <w:rsid w:val="008D3FB1"/>
    <w:rsid w:val="008E3D5C"/>
    <w:rsid w:val="008F41BB"/>
    <w:rsid w:val="00901FF8"/>
    <w:rsid w:val="0092730A"/>
    <w:rsid w:val="00931684"/>
    <w:rsid w:val="00931F84"/>
    <w:rsid w:val="00933DCB"/>
    <w:rsid w:val="00934F8D"/>
    <w:rsid w:val="0093758C"/>
    <w:rsid w:val="00943CCF"/>
    <w:rsid w:val="00950561"/>
    <w:rsid w:val="0095149D"/>
    <w:rsid w:val="009521A1"/>
    <w:rsid w:val="009711E6"/>
    <w:rsid w:val="00973D05"/>
    <w:rsid w:val="00974C7C"/>
    <w:rsid w:val="00977531"/>
    <w:rsid w:val="00977A66"/>
    <w:rsid w:val="00980F93"/>
    <w:rsid w:val="00990D7B"/>
    <w:rsid w:val="009A59B5"/>
    <w:rsid w:val="009A5DAF"/>
    <w:rsid w:val="009B28DB"/>
    <w:rsid w:val="009B3026"/>
    <w:rsid w:val="009B717F"/>
    <w:rsid w:val="009C43BE"/>
    <w:rsid w:val="009C53E8"/>
    <w:rsid w:val="009D4291"/>
    <w:rsid w:val="009E2D59"/>
    <w:rsid w:val="009F35AB"/>
    <w:rsid w:val="00A040EC"/>
    <w:rsid w:val="00A051C8"/>
    <w:rsid w:val="00A15B89"/>
    <w:rsid w:val="00A16891"/>
    <w:rsid w:val="00A2077C"/>
    <w:rsid w:val="00A24374"/>
    <w:rsid w:val="00A26429"/>
    <w:rsid w:val="00A43868"/>
    <w:rsid w:val="00A52965"/>
    <w:rsid w:val="00A541C5"/>
    <w:rsid w:val="00A5433F"/>
    <w:rsid w:val="00A62104"/>
    <w:rsid w:val="00A84576"/>
    <w:rsid w:val="00A91D90"/>
    <w:rsid w:val="00AA7170"/>
    <w:rsid w:val="00AB0E27"/>
    <w:rsid w:val="00AB3B14"/>
    <w:rsid w:val="00AD4A72"/>
    <w:rsid w:val="00AE3568"/>
    <w:rsid w:val="00AE6B67"/>
    <w:rsid w:val="00AF0E5E"/>
    <w:rsid w:val="00AF2D50"/>
    <w:rsid w:val="00AF6E66"/>
    <w:rsid w:val="00B03A14"/>
    <w:rsid w:val="00B07CF5"/>
    <w:rsid w:val="00B11405"/>
    <w:rsid w:val="00B135E5"/>
    <w:rsid w:val="00B23478"/>
    <w:rsid w:val="00B335DF"/>
    <w:rsid w:val="00B3361A"/>
    <w:rsid w:val="00B340CB"/>
    <w:rsid w:val="00B36600"/>
    <w:rsid w:val="00B416A0"/>
    <w:rsid w:val="00B41E45"/>
    <w:rsid w:val="00B44CEE"/>
    <w:rsid w:val="00B600E5"/>
    <w:rsid w:val="00B709C7"/>
    <w:rsid w:val="00B734FC"/>
    <w:rsid w:val="00B77C91"/>
    <w:rsid w:val="00B87F6F"/>
    <w:rsid w:val="00B9366C"/>
    <w:rsid w:val="00B97886"/>
    <w:rsid w:val="00BA2E8A"/>
    <w:rsid w:val="00BA3005"/>
    <w:rsid w:val="00BB5C95"/>
    <w:rsid w:val="00BB6CE9"/>
    <w:rsid w:val="00BC0A32"/>
    <w:rsid w:val="00BC24FC"/>
    <w:rsid w:val="00BC3AC9"/>
    <w:rsid w:val="00BC5D99"/>
    <w:rsid w:val="00BD2EAE"/>
    <w:rsid w:val="00BD3485"/>
    <w:rsid w:val="00BD41ED"/>
    <w:rsid w:val="00BD51C0"/>
    <w:rsid w:val="00BD5BF5"/>
    <w:rsid w:val="00BE42F3"/>
    <w:rsid w:val="00BF138C"/>
    <w:rsid w:val="00BF13F0"/>
    <w:rsid w:val="00C01959"/>
    <w:rsid w:val="00C047C5"/>
    <w:rsid w:val="00C05875"/>
    <w:rsid w:val="00C06D87"/>
    <w:rsid w:val="00C13A8C"/>
    <w:rsid w:val="00C15805"/>
    <w:rsid w:val="00C27055"/>
    <w:rsid w:val="00C27810"/>
    <w:rsid w:val="00C35BDE"/>
    <w:rsid w:val="00C37B62"/>
    <w:rsid w:val="00C41191"/>
    <w:rsid w:val="00C42BFC"/>
    <w:rsid w:val="00C47565"/>
    <w:rsid w:val="00C54959"/>
    <w:rsid w:val="00C5514E"/>
    <w:rsid w:val="00C6322A"/>
    <w:rsid w:val="00C85C9A"/>
    <w:rsid w:val="00CA0DD3"/>
    <w:rsid w:val="00CC6715"/>
    <w:rsid w:val="00CD28C3"/>
    <w:rsid w:val="00CE4C0A"/>
    <w:rsid w:val="00CF0EC8"/>
    <w:rsid w:val="00CF5EC4"/>
    <w:rsid w:val="00D103DC"/>
    <w:rsid w:val="00D108C9"/>
    <w:rsid w:val="00D114F7"/>
    <w:rsid w:val="00D11876"/>
    <w:rsid w:val="00D160C2"/>
    <w:rsid w:val="00D172A4"/>
    <w:rsid w:val="00D30EEE"/>
    <w:rsid w:val="00D310C1"/>
    <w:rsid w:val="00D5038B"/>
    <w:rsid w:val="00D52AE1"/>
    <w:rsid w:val="00D561E0"/>
    <w:rsid w:val="00D6156A"/>
    <w:rsid w:val="00D61CF3"/>
    <w:rsid w:val="00D949A3"/>
    <w:rsid w:val="00DA468B"/>
    <w:rsid w:val="00DA69D7"/>
    <w:rsid w:val="00DB0188"/>
    <w:rsid w:val="00DB7A70"/>
    <w:rsid w:val="00DC2B99"/>
    <w:rsid w:val="00DC6383"/>
    <w:rsid w:val="00DC69E9"/>
    <w:rsid w:val="00DD1887"/>
    <w:rsid w:val="00DD2B34"/>
    <w:rsid w:val="00DD4E45"/>
    <w:rsid w:val="00DE3601"/>
    <w:rsid w:val="00E016CD"/>
    <w:rsid w:val="00E1638A"/>
    <w:rsid w:val="00E17DDE"/>
    <w:rsid w:val="00E224F8"/>
    <w:rsid w:val="00E231A2"/>
    <w:rsid w:val="00E235CB"/>
    <w:rsid w:val="00E303BF"/>
    <w:rsid w:val="00E31260"/>
    <w:rsid w:val="00E34868"/>
    <w:rsid w:val="00E373C0"/>
    <w:rsid w:val="00E4478E"/>
    <w:rsid w:val="00E4516B"/>
    <w:rsid w:val="00E47BE6"/>
    <w:rsid w:val="00E54025"/>
    <w:rsid w:val="00E63445"/>
    <w:rsid w:val="00E66B66"/>
    <w:rsid w:val="00E67437"/>
    <w:rsid w:val="00E7201D"/>
    <w:rsid w:val="00E765D0"/>
    <w:rsid w:val="00E77DC3"/>
    <w:rsid w:val="00E84AB6"/>
    <w:rsid w:val="00E86998"/>
    <w:rsid w:val="00E9470F"/>
    <w:rsid w:val="00EA5A37"/>
    <w:rsid w:val="00EA73A7"/>
    <w:rsid w:val="00EA7827"/>
    <w:rsid w:val="00EB2297"/>
    <w:rsid w:val="00EB61D5"/>
    <w:rsid w:val="00EB6399"/>
    <w:rsid w:val="00ED2522"/>
    <w:rsid w:val="00ED5D66"/>
    <w:rsid w:val="00EE3ED0"/>
    <w:rsid w:val="00EE4B64"/>
    <w:rsid w:val="00EF0113"/>
    <w:rsid w:val="00EF1F71"/>
    <w:rsid w:val="00EF422C"/>
    <w:rsid w:val="00EF5764"/>
    <w:rsid w:val="00EF7807"/>
    <w:rsid w:val="00F02BAF"/>
    <w:rsid w:val="00F02FDE"/>
    <w:rsid w:val="00F102A8"/>
    <w:rsid w:val="00F10BB3"/>
    <w:rsid w:val="00F316B2"/>
    <w:rsid w:val="00F34E74"/>
    <w:rsid w:val="00F36D33"/>
    <w:rsid w:val="00F410F0"/>
    <w:rsid w:val="00F46A8E"/>
    <w:rsid w:val="00F4797A"/>
    <w:rsid w:val="00F54904"/>
    <w:rsid w:val="00F57495"/>
    <w:rsid w:val="00F619A5"/>
    <w:rsid w:val="00F6789A"/>
    <w:rsid w:val="00F7010D"/>
    <w:rsid w:val="00F70C8D"/>
    <w:rsid w:val="00F751BE"/>
    <w:rsid w:val="00F778CA"/>
    <w:rsid w:val="00F77CD2"/>
    <w:rsid w:val="00F80CBC"/>
    <w:rsid w:val="00F824D9"/>
    <w:rsid w:val="00F84212"/>
    <w:rsid w:val="00F87311"/>
    <w:rsid w:val="00F924CF"/>
    <w:rsid w:val="00F92F42"/>
    <w:rsid w:val="00F9538A"/>
    <w:rsid w:val="00FB0311"/>
    <w:rsid w:val="00FB0EF8"/>
    <w:rsid w:val="00FB5675"/>
    <w:rsid w:val="00FC5251"/>
    <w:rsid w:val="00FC7319"/>
    <w:rsid w:val="00FD71B5"/>
    <w:rsid w:val="00FE0399"/>
    <w:rsid w:val="00FE5176"/>
    <w:rsid w:val="00FF11B6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0"/>
    <w:uiPriority w:val="99"/>
    <w:unhideWhenUsed/>
    <w:rsid w:val="0079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9780E"/>
  </w:style>
  <w:style w:type="paragraph" w:styleId="Footer">
    <w:name w:val="footer"/>
    <w:basedOn w:val="Normal"/>
    <w:link w:val="a1"/>
    <w:uiPriority w:val="99"/>
    <w:unhideWhenUsed/>
    <w:rsid w:val="0079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9780E"/>
  </w:style>
  <w:style w:type="paragraph" w:styleId="BalloonText">
    <w:name w:val="Balloon Text"/>
    <w:basedOn w:val="Normal"/>
    <w:link w:val="a2"/>
    <w:uiPriority w:val="99"/>
    <w:semiHidden/>
    <w:unhideWhenUsed/>
    <w:rsid w:val="00BC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C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