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162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rStyle w:val="DefaultParagraphFont"/>
          <w:sz w:val="28"/>
          <w:szCs w:val="28"/>
        </w:rPr>
      </w:pPr>
      <w:r>
        <w:rPr>
          <w:rStyle w:val="cat-Dategrp-13rplc-0"/>
          <w:rFonts w:ascii="Times New Roman" w:eastAsia="Times New Roman" w:hAnsi="Times New Roman" w:cs="Times New Roman"/>
          <w:spacing w:val="4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pacing w:val="4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pacing w:val="4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pacing w:val="4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pacing w:val="4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pacing w:val="4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pacing w:val="4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pacing w:val="4"/>
          <w:sz w:val="28"/>
          <w:szCs w:val="28"/>
        </w:rPr>
        <w:tab/>
      </w:r>
      <w:r>
        <w:rPr>
          <w:rStyle w:val="cat-Addressgrp-0rplc-1"/>
          <w:rFonts w:ascii="Times New Roman" w:eastAsia="Times New Roman" w:hAnsi="Times New Roman" w:cs="Times New Roman"/>
          <w:spacing w:val="4"/>
          <w:sz w:val="28"/>
          <w:szCs w:val="28"/>
        </w:rPr>
        <w:t>адрес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оглашена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4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75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изготовлено в полном объеме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5rplc-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75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3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34rplc-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судебном заседании гражданское дело по иску </w:t>
      </w:r>
      <w:r>
        <w:rPr>
          <w:rStyle w:val="cat-OrganizationNamegrp-45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35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за безучетное </w:t>
      </w:r>
      <w:r>
        <w:rPr>
          <w:rFonts w:ascii="Times New Roman" w:eastAsia="Times New Roman" w:hAnsi="Times New Roman" w:cs="Times New Roman"/>
          <w:sz w:val="28"/>
          <w:szCs w:val="28"/>
        </w:rPr>
        <w:t>потреблен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электр</w:t>
      </w:r>
      <w:r>
        <w:rPr>
          <w:rFonts w:ascii="Times New Roman" w:eastAsia="Times New Roman" w:hAnsi="Times New Roman" w:cs="Times New Roman"/>
          <w:sz w:val="28"/>
          <w:szCs w:val="28"/>
        </w:rPr>
        <w:t>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Style w:val="cat-OrganizationNamegrp-45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обратилось в суд с иском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6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котором просит взыскать стоимость неучтенно потребленной электроэнергии в размере </w:t>
      </w:r>
      <w:r>
        <w:rPr>
          <w:rStyle w:val="cat-Sumgrp-41rplc-1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расходы по оплате государственной пошлины в размере </w:t>
      </w:r>
      <w:r>
        <w:rPr>
          <w:rStyle w:val="cat-Sumgrp-42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В обоснование заявленных требований истец сослался на то, что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тветчик </w:t>
      </w:r>
      <w:r>
        <w:rPr>
          <w:rStyle w:val="cat-FIOgrp-36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абонентом </w:t>
      </w:r>
      <w:r>
        <w:rPr>
          <w:rStyle w:val="cat-OrganizationNamegrp-46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Крымэнерго" и потребителем электрической энергии на основании открытого лицевого счета № </w:t>
      </w:r>
      <w:r>
        <w:rPr>
          <w:rFonts w:ascii="Times New Roman" w:eastAsia="Times New Roman" w:hAnsi="Times New Roman" w:cs="Times New Roman"/>
          <w:sz w:val="28"/>
          <w:szCs w:val="28"/>
        </w:rPr>
        <w:t>016129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 </w:t>
      </w:r>
      <w:r>
        <w:rPr>
          <w:rStyle w:val="cat-Addressgrp-3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Style w:val="cat-OrganizationNamegrp-47rplc-1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поставляет электрическую энергию, а ответчик ей пользуется и оплачивает вышеуказанные услуги. Ответчик, несмотря на постоянное проживание в данном доме, для заключения письменного договора энергоснабжения на свое имя к энергопостащику не обращался, лицевой счет был оформлен на имя </w:t>
      </w:r>
      <w:r>
        <w:rPr>
          <w:rStyle w:val="cat-FIOgrp-3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умершего </w:t>
      </w:r>
      <w:r>
        <w:rPr>
          <w:rStyle w:val="cat-Dategrp-16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После смерти ответчик лицевой счет на свое имя не переоформила, при </w:t>
      </w:r>
      <w:r>
        <w:rPr>
          <w:rFonts w:ascii="Times New Roman" w:eastAsia="Times New Roman" w:hAnsi="Times New Roman" w:cs="Times New Roman"/>
          <w:sz w:val="28"/>
          <w:szCs w:val="28"/>
        </w:rPr>
        <w:t>потреблял и производил оплату за потребленную электроэнергию Таким образом, поведение ответчика подтверждает его желание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наступлению соответствующих правовых последствий, в частности договорных правоотношений с истцом на условиях, предусмотренных законодательством, в частности Правилами пользования электрической энергией для населения (ППЭЭн). В соответствии с ч.1 ст. 539 Гражданского Кодекса Российской Федерации по договору энергоснабжения, энергоснабжающая организация обязуется подавать абоненту (потребителю) через присоединенную сеть энергию, а абонент обязуется оплачивать принятую энергию, а так 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 540 ГК РФ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 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 предусмотренным статьей 546 настоящего Кодекса.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547 ГК РФ в случае неисполнения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(п.2 ст. 15).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Style w:val="cat-Addressgrp-5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положений функционирования розничных рынков электрической энергии» утвержденных Постановлением Правительства Российской Федерации от </w:t>
      </w:r>
      <w:r>
        <w:rPr>
          <w:rStyle w:val="cat-Dategrp-17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442 (далее - Постановление) проверка расчетных приборов учета осуществляется сетевой организацией, к объектам электросетевого хозяйства которой непосредственно или опосредовано присоединены энергопринимающие устройства, в отношении которых установлены подлежащие проверке расчетные приборы учета, если иное не установлено в договоре оказания услуг по передаче электрической энергии, заключенном такой сетевой организацией с другой сетевой организацией.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 Постановления установлено, что безучетное потребление - это потребление электрической энергии с нарушением установленного договором энергоснабжения (поставк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электрической энергии) порядка учета электрической энергии со стороны потребител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выразившимся во вмешательстве в работу прибора учета, обязанность по обеспечен</w:t>
      </w:r>
      <w:r>
        <w:rPr>
          <w:rFonts w:ascii="Times New Roman" w:eastAsia="Times New Roman" w:hAnsi="Times New Roman" w:cs="Times New Roman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целостности и сохранности которого возложена потребителя, в том числе в нарушен</w:t>
      </w:r>
      <w:r>
        <w:rPr>
          <w:rFonts w:ascii="Times New Roman" w:eastAsia="Times New Roman" w:hAnsi="Times New Roman" w:cs="Times New Roman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(повреждении) пломб и (или) визуального контроля, нанесенных на прибор учета, 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потребителем иных действий, которые привели к искажению данных об объем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потребления электрической энергии.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 167 Постановления определено субъекты электроэнергетики, обеспечивающие снабжен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электрической энергией потребителей, проверяют соблюдение потребителями 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№ 442, определяющих порядок учета электрической энергии, услови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заключенных договоров энергоснабжения, а также проводят проверки на предмет выявлен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фактов безучетного и бездоговорного потребления электрической энергии.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192 Постановления по факту выявления безучетного или бездоговорног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потребления электрической энергии сетевой организацией составляется акт о неучтенно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потреблении электрической энергии. Также в соответствии с п.2 Постановления ограничен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режима потребления электрической энергией вводится при выявлении факта осуществлен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потребителем безучетного потребления электрической энергии.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8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проверке электроустановки ответчика, представителям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Нижнегорского РЭС </w:t>
      </w:r>
      <w:r>
        <w:rPr>
          <w:rStyle w:val="cat-OrganizationNamegrp-47rplc-2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установлен факт безучетног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пользования электроэнергией (потребитель своевременно не подал заявление) в связи с че</w:t>
      </w:r>
      <w:r>
        <w:rPr>
          <w:rFonts w:ascii="Times New Roman" w:eastAsia="Times New Roman" w:hAnsi="Times New Roman" w:cs="Times New Roman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ыл составлен акт № </w:t>
      </w:r>
      <w:r>
        <w:rPr>
          <w:rFonts w:ascii="Times New Roman" w:eastAsia="Times New Roman" w:hAnsi="Times New Roman" w:cs="Times New Roman"/>
          <w:sz w:val="28"/>
          <w:szCs w:val="28"/>
        </w:rPr>
        <w:t>240296</w:t>
      </w:r>
      <w:r>
        <w:rPr>
          <w:rFonts w:ascii="Times New Roman" w:eastAsia="Times New Roman" w:hAnsi="Times New Roman" w:cs="Times New Roman"/>
          <w:sz w:val="28"/>
          <w:szCs w:val="28"/>
        </w:rPr>
        <w:t>, который подписан тремя представителями энергопоставщика и ответчиком.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 84 Постановления предусмотрено стоимость объема безучетного потребления по договору энергоснабжения (поставки) электрической энергии рассчитывается по ценам на электрическую энергию, определяемым и применяемым в соответствии с настоящим документом за расчетный период, в котором составлен акт о неучтенном потреблении электрической энергии, а также условиям договора.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195 стоимость электрической энергии в определенном в соответствии с настоящим пунктом объеме безучетного потребления включается гарантирующим поставщиком в выставляемый потребителю счет на оплату стоимости электрической энергии (мощности), приобретенной по договору обеспечивающему продажу электрической энергии, за тот расчетный период, котором был выявлен факт безучетного потребления и составлен акт о неучтенном потреблении электрической энергии. Указанный счет также должен содержать расчет объема и стоимости безучетного потребления. Потребитель обязан оплатить указанный счет в срок определенный в договоре, обеспечивающем продажу электрической энергии.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Нарушения допущены ответчиком и зафиксированы соответствующим актом в период действия на территории </w:t>
      </w:r>
      <w:r>
        <w:rPr>
          <w:rStyle w:val="cat-Addressgrp-1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норм украинского законодательства, в том числе и Постановления КМУ № 1357 от </w:t>
      </w:r>
      <w:r>
        <w:rPr>
          <w:rStyle w:val="cat-Dategrp-19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также размер убытков определен согласно действующей Методики № 562 от </w:t>
      </w:r>
      <w:r>
        <w:rPr>
          <w:rStyle w:val="cat-Dategrp-20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Сущность допущенных ответчиком нарушений аналогична нарушениям, предусмотренным изложенными нормами материального права Российской Федерации.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Нижнегорским РЭС по акту № 244682 произведен расчет объема и стоимости неучтенно потребленной электрической энергии, из определенной мощности подключенного оборудования в размере 3,00 кВт, с </w:t>
      </w:r>
      <w:r>
        <w:rPr>
          <w:rStyle w:val="cat-Dategrp-21rplc-2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18rplc-3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количестве 183 дней, объем составил </w:t>
      </w:r>
      <w:r>
        <w:rPr>
          <w:rFonts w:ascii="Times New Roman" w:eastAsia="Times New Roman" w:hAnsi="Times New Roman" w:cs="Times New Roman"/>
          <w:sz w:val="28"/>
          <w:szCs w:val="28"/>
        </w:rPr>
        <w:t>12726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кВт/ч, стоимость составила </w:t>
      </w:r>
      <w:r>
        <w:rPr>
          <w:rStyle w:val="cat-Sumgrp-43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(без НДС)., </w:t>
      </w:r>
      <w:r>
        <w:rPr>
          <w:rStyle w:val="cat-Sumgrp-44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 НДС)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Style w:val="cat-Addressgrp-10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Style w:val="cat-Addressgrp-1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итуционного закона РФ от </w:t>
      </w:r>
      <w:r>
        <w:rPr>
          <w:rStyle w:val="cat-Dategrp-22rplc-3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6-ФКЗ «О принятии в Российскую Федерацию </w:t>
      </w:r>
      <w:r>
        <w:rPr>
          <w:rStyle w:val="cat-Addressgrp-1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образовании в составе Российской Федерации новых субъектов - </w:t>
      </w:r>
      <w:r>
        <w:rPr>
          <w:rStyle w:val="cat-Addressgrp-1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города федерального значения Севастополя» </w:t>
      </w:r>
      <w:r>
        <w:rPr>
          <w:rStyle w:val="cat-Addressgrp-1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принимается в Российскую федерацию в соответствии с Конституцией РФ и </w:t>
      </w:r>
      <w:r>
        <w:rPr>
          <w:rStyle w:val="cat-Addressgrp-10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ст.4 </w:t>
      </w:r>
      <w:r>
        <w:rPr>
          <w:rStyle w:val="cat-Addressgrp-12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титуционного закона от </w:t>
      </w:r>
      <w:r>
        <w:rPr>
          <w:rStyle w:val="cat-Dategrp-23rplc-4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6-ФКЗ «О порядке принятия в Российскую Федерацию и образования в ее составе нового субъекта Российской Федерации».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ч.1 ст.23 вышеуказанного закона законодательные и иные нормативные правовые акты РФ действуют на территории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города федерального значения Севастополя со дня принятия в Российскую Федерацию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образования в составе Российской Федерации новых субъектов, если иное не предусмотрено настоящим Федеральным конституционным законом.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ст.382 ГК РФ право (требование), принадлежащее кредитору на основании обязательства, может быть передано им другому лицу по сделке (уступка требования) или перейти к другому лицу на основании закона. Для перехода к другому лицу прав кредитора согласие должника, если иное не предусмотрено законом или договором не требуется.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 </w:t>
      </w:r>
      <w:r>
        <w:rPr>
          <w:rStyle w:val="cat-OrganizationNamegrp-45rplc-4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предъявление права требования к ответчику подтверждается договором уступки прав (цессии) </w:t>
      </w:r>
      <w:r>
        <w:rPr>
          <w:rStyle w:val="cat-Dategrp-24rplc-4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заключенного между филиалом «ДТЭК Крымэнерго» </w:t>
      </w:r>
      <w:r>
        <w:rPr>
          <w:rStyle w:val="cat-OrganizationNamegrp-48rplc-4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OrganizationNamegrp-49rplc-4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Статьей 15 ГК РФ установлено, что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Представитель и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>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доверенности </w:t>
      </w:r>
      <w:r>
        <w:rPr>
          <w:rStyle w:val="cat-FIOgrp-38rplc-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надлежаще извещённ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о времени и месте рассмотрения дела, в судебное заседание не </w:t>
      </w:r>
      <w:r>
        <w:rPr>
          <w:rFonts w:ascii="Times New Roman" w:eastAsia="Times New Roman" w:hAnsi="Times New Roman" w:cs="Times New Roman"/>
          <w:sz w:val="28"/>
          <w:szCs w:val="28"/>
        </w:rPr>
        <w:t>явилс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представив письменное заявление, в котором просил рассмотреть дело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тветчик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6rplc-4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извещенная, под роспись,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времени и месте рассмотрения дела, в судебное заседание не явилась,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представив письменное заявление, в котором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указал, что исковые требования не признает,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просил </w:t>
      </w:r>
      <w:r>
        <w:rPr>
          <w:rFonts w:ascii="Times New Roman" w:eastAsia="Times New Roman" w:hAnsi="Times New Roman" w:cs="Times New Roman"/>
          <w:sz w:val="28"/>
          <w:szCs w:val="28"/>
        </w:rPr>
        <w:t>применить срок исковой давности, а также рас</w:t>
      </w:r>
      <w:r>
        <w:rPr>
          <w:rFonts w:ascii="Times New Roman" w:eastAsia="Times New Roman" w:hAnsi="Times New Roman" w:cs="Times New Roman"/>
          <w:sz w:val="28"/>
          <w:szCs w:val="28"/>
        </w:rPr>
        <w:t>смотреть дело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Суд, исследовав материалы дела, считает, что исковые требования удовлетворению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подлежат в связи с пропуском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, по следующим основаниям: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материалов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</w:t>
      </w:r>
      <w:r>
        <w:rPr>
          <w:rStyle w:val="cat-FIOgrp-36rplc-5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eastAsia="Times New Roman" w:hAnsi="Times New Roman" w:cs="Times New Roman"/>
          <w:sz w:val="28"/>
          <w:szCs w:val="28"/>
        </w:rPr>
        <w:t>лась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абонентом </w:t>
      </w:r>
      <w:r>
        <w:rPr>
          <w:rStyle w:val="cat-OrganizationNamegrp-46rplc-5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Крымэнерго" и потребителем электрической энергии на основании лицевого счета № </w:t>
      </w:r>
      <w:r>
        <w:rPr>
          <w:rFonts w:ascii="Times New Roman" w:eastAsia="Times New Roman" w:hAnsi="Times New Roman" w:cs="Times New Roman"/>
          <w:sz w:val="28"/>
          <w:szCs w:val="28"/>
        </w:rPr>
        <w:t>016129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 </w:t>
      </w:r>
      <w:r>
        <w:rPr>
          <w:rStyle w:val="cat-Addressgrp-6rplc-5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7rplc-5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открытого на имя </w:t>
      </w:r>
      <w:r>
        <w:rPr>
          <w:rStyle w:val="cat-FIOgrp-37rplc-5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свидетельству о смерти </w:t>
      </w:r>
      <w:r>
        <w:rPr>
          <w:rStyle w:val="cat-FIOgrp-39rplc-5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25rplc-5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умер.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Style w:val="cat-FIOgrp-36rplc-5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период времени с </w:t>
      </w:r>
      <w:r>
        <w:rPr>
          <w:rStyle w:val="cat-Dategrp-26rplc-5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27rplc-5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зарегистрирована и фактически проживала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8rplc-6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Акимовка, </w:t>
      </w:r>
      <w:r>
        <w:rPr>
          <w:rStyle w:val="cat-Addressgrp-9rplc-6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Style w:val="cat-Dategrp-18rplc-6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проверке электроустановки ответчика, представителями Нижнегорского РЭС </w:t>
      </w:r>
      <w:r>
        <w:rPr>
          <w:rStyle w:val="cat-OrganizationNamegrp-47rplc-6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установлен факт безучетного пользования электроэнергией (потребитель своевременно не подал заявление) в связи с чем, был составлен акт № </w:t>
      </w:r>
      <w:r>
        <w:rPr>
          <w:rFonts w:ascii="Times New Roman" w:eastAsia="Times New Roman" w:hAnsi="Times New Roman" w:cs="Times New Roman"/>
          <w:sz w:val="28"/>
          <w:szCs w:val="28"/>
        </w:rPr>
        <w:t>240296</w:t>
      </w:r>
      <w:r>
        <w:rPr>
          <w:rFonts w:ascii="Times New Roman" w:eastAsia="Times New Roman" w:hAnsi="Times New Roman" w:cs="Times New Roman"/>
          <w:sz w:val="28"/>
          <w:szCs w:val="28"/>
        </w:rPr>
        <w:t>, который подписан тремя представителями энергопоставщика и ответчиком.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Нижнегорским РЭС по акту № </w:t>
      </w:r>
      <w:r>
        <w:rPr>
          <w:rFonts w:ascii="Times New Roman" w:eastAsia="Times New Roman" w:hAnsi="Times New Roman" w:cs="Times New Roman"/>
          <w:sz w:val="28"/>
          <w:szCs w:val="28"/>
        </w:rPr>
        <w:t>240296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произведен расчет объема и стоимости неучтенно потребленной электрической энергии, из определенной мощности подключенного оборудования в размере 3,00 кВт, с </w:t>
      </w:r>
      <w:r>
        <w:rPr>
          <w:rStyle w:val="cat-Dategrp-21rplc-6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18rplc-6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количестве 183 дней, объем составил </w:t>
      </w:r>
      <w:r>
        <w:rPr>
          <w:rFonts w:ascii="Times New Roman" w:eastAsia="Times New Roman" w:hAnsi="Times New Roman" w:cs="Times New Roman"/>
          <w:sz w:val="28"/>
          <w:szCs w:val="28"/>
        </w:rPr>
        <w:t>12726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кВт/ч, стоимость составила </w:t>
      </w:r>
      <w:r>
        <w:rPr>
          <w:rStyle w:val="cat-Sumgrp-43rplc-6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(без НДС).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Style w:val="cat-Dategrp-24rplc-6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между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филиалом «ДТЭК Крымэнерго» </w:t>
      </w:r>
      <w:r>
        <w:rPr>
          <w:rStyle w:val="cat-OrganizationNamegrp-48rplc-6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OrganizationNamegrp-49rplc-6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заключен </w:t>
      </w:r>
      <w:r>
        <w:rPr>
          <w:rFonts w:ascii="Times New Roman" w:eastAsia="Times New Roman" w:hAnsi="Times New Roman" w:cs="Times New Roman"/>
          <w:sz w:val="28"/>
          <w:szCs w:val="28"/>
        </w:rPr>
        <w:t>договором уступки прав (цессии), заключенного между.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обстоятельства достоверно подтверждаются исследовавшимися в судебном заседании письменными доказательствами.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Ответчиком до судебного заседания было представлено заявление о применении срока исковой давности и отказе в удовлетворении исковых требований.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195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ГК РФ, - исковой давностью признается срок для защиты права по иску лица, право которого нарушено.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196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ГК РФ, - общий срок исковой давности составляет три года со дня, определяемого в соответствии со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200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ГК РФ.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 1 ст. 200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ГК РФ, -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Положениями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 2 ст. 199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ГК РФ установлено, что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самостоятельным основанием к вынесению судом решения об отказе в иске.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установлено в судебном заседании </w:t>
      </w:r>
      <w:r>
        <w:rPr>
          <w:rStyle w:val="cat-Dategrp-27rplc-7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ресурсоснабжающей организации в присутствии ответчика провели проверку, по результатам которой был составлен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Акта о нарушении № </w:t>
      </w:r>
      <w:r>
        <w:rPr>
          <w:rFonts w:ascii="Times New Roman" w:eastAsia="Times New Roman" w:hAnsi="Times New Roman" w:cs="Times New Roman"/>
          <w:sz w:val="28"/>
          <w:szCs w:val="28"/>
        </w:rPr>
        <w:t>240296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27rplc-7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 участники </w:t>
      </w:r>
      <w:r>
        <w:rPr>
          <w:rFonts w:ascii="Times New Roman" w:eastAsia="Times New Roman" w:hAnsi="Times New Roman" w:cs="Times New Roman"/>
          <w:sz w:val="28"/>
          <w:szCs w:val="28"/>
        </w:rPr>
        <w:t>расписал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сь в нем</w:t>
      </w:r>
      <w:r>
        <w:rPr>
          <w:rFonts w:ascii="Times New Roman" w:eastAsia="Times New Roman" w:hAnsi="Times New Roman" w:cs="Times New Roman"/>
          <w:sz w:val="28"/>
          <w:szCs w:val="28"/>
        </w:rPr>
        <w:t>, в связи с чем,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началом течения срока исковой давности является </w:t>
      </w:r>
      <w:r>
        <w:rPr>
          <w:rStyle w:val="cat-Dategrp-27rplc-72"/>
          <w:rFonts w:ascii="Times New Roman" w:eastAsia="Times New Roman" w:hAnsi="Times New Roman" w:cs="Times New Roman"/>
          <w:sz w:val="28"/>
          <w:szCs w:val="28"/>
        </w:rPr>
        <w:t>дата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Истец обратилась в суд с иском </w:t>
      </w:r>
      <w:r>
        <w:rPr>
          <w:rStyle w:val="cat-Dategrp-28rplc-7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то есть с пропуском установленного законом трехлетнего срока исковой давности (</w:t>
      </w:r>
      <w:r>
        <w:rPr>
          <w:rStyle w:val="cat-Dategrp-29rplc-7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 истец, заключая </w:t>
      </w:r>
      <w:r>
        <w:rPr>
          <w:rStyle w:val="cat-Dategrp-31rplc-7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Style w:val="cat-OrganizationNamegrp-48rplc-7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 уступки прав требований, знал в этот день о нарушении своего права и, соответственно, мог обратиться в суд с настоящим иском до </w:t>
      </w:r>
      <w:r>
        <w:rPr>
          <w:rStyle w:val="cat-Dategrp-29rplc-7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однако обратился только в </w:t>
      </w:r>
      <w:r>
        <w:rPr>
          <w:rStyle w:val="cat-Dategrp-30rplc-7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то есть за пределами срока исковой давности.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Доказательств,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свидетельствующих о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оплате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</w:t>
      </w:r>
      <w:r>
        <w:rPr>
          <w:rFonts w:ascii="Times New Roman" w:eastAsia="Times New Roman" w:hAnsi="Times New Roman" w:cs="Times New Roman"/>
          <w:sz w:val="28"/>
          <w:szCs w:val="28"/>
        </w:rPr>
        <w:t>имеющейся задолженности с указанием дат оплаты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56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ГПК РФ, истцом не представлено.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системного толкования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 3 ст. 202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ГК РФ следует правило, в соответствии с которым течение срока исковой давности приостанавливается на срок фактического соблюдения претензионного порядка (с момента направления претензии до момента получения отказа в ее удовлетворении), непоступление ответа на претензию в течение 30 дней либо срока, установленного договором, приравнивается к отказу в удовлетворении претензии, поступившему на 30 день, либо в последний день срока, установленного договором. Таким образом, если ответ на претензию не поступил в течение 30 дней или срока, установленного договором, или поступил за их пределами, течение срока исковой давности приостанавливается на 30 дней, либо на срок, установленный договором для ответа на претензию.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с тем, доказательств, свидетельствующих о приостановлении срока исковой давности в связи с проведением несудебной процедуре разрешения спора, обращение к которой предусмотрено законом, в том числе к обязательному претензионному порядку, со стороны истца также не представлено.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6 ст. 152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ГПК РФ, - при установлении факта пропуска без уважительных причин срока исковой давности обращения в суд, суд принимает решение об отказе в иске без исследования иных фактических обстоятельств по делу.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Наряду с этим, согласно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абз. 3 ч. 4 ст. 198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ГПК РФ, - в случае отказа в иске в связи с признанием неуважительными причин пропуска срока исковой давности или срока обращения в суд в мотивировочной части решения суда указывается только на установление судом данных обстоятельств.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Принимая во внимание, что заявлений о восстановлении срока исковой давности со стороны истца не поступало, а обстоятельств, которые могли бы послужить основанием для восстановления данного срока не установлено суд,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разъяснения, содержащиеся в Постановлении Пленума Верховного Суда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32rplc-7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43 «</w:t>
      </w:r>
      <w:r>
        <w:rPr>
          <w:rFonts w:ascii="Times New Roman" w:eastAsia="Times New Roman" w:hAnsi="Times New Roman" w:cs="Times New Roman"/>
          <w:sz w:val="28"/>
          <w:szCs w:val="28"/>
        </w:rPr>
        <w:t>О некоторых вопросах, связанных с применением норм Гражданского кодекса Российской Федерации об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пришел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выводу, что истцом пропущен срок исковой давности, а потому исковые требования </w:t>
      </w:r>
      <w:r>
        <w:rPr>
          <w:rStyle w:val="cat-OrganizationNamegrp-45rplc-8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8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36rplc-8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стоимости не</w:t>
      </w:r>
      <w:r>
        <w:rPr>
          <w:rFonts w:ascii="Times New Roman" w:eastAsia="Times New Roman" w:hAnsi="Times New Roman" w:cs="Times New Roman"/>
          <w:sz w:val="28"/>
          <w:szCs w:val="28"/>
        </w:rPr>
        <w:t>учт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но потреблен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sz w:val="28"/>
          <w:szCs w:val="28"/>
        </w:rPr>
        <w:t>электр</w:t>
      </w:r>
      <w:r>
        <w:rPr>
          <w:rFonts w:ascii="Times New Roman" w:eastAsia="Times New Roman" w:hAnsi="Times New Roman" w:cs="Times New Roman"/>
          <w:sz w:val="28"/>
          <w:szCs w:val="28"/>
        </w:rPr>
        <w:t>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равно как применительно к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98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ГПК РФ, судебных расходов - удовлетворению не подлежат.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На основании изложенного, руководствуясь ст.ст.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98,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194-198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судья,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</w:t>
      </w:r>
      <w:r>
        <w:rPr>
          <w:rStyle w:val="cat-OrganizationNamegrp-50rplc-8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35rplc-8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за безучетное </w:t>
      </w:r>
      <w:r>
        <w:rPr>
          <w:rFonts w:ascii="Times New Roman" w:eastAsia="Times New Roman" w:hAnsi="Times New Roman" w:cs="Times New Roman"/>
          <w:sz w:val="28"/>
          <w:szCs w:val="28"/>
        </w:rPr>
        <w:t>потреблен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электр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ической энергии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ответчику, что в силу ст. 103.1 ГПК РФ он вправе обратиться в суд с заявлением по вопросу о судебных расходов. Заявление по вопросу о судебных расходах, понесенных в связи с рассмотрением дела в суде первой, апелляционной, кассационной инстанций, рассмотрением дела в порядке надзора, не разрешенному при рассмотрении дела в соответствующем суде, может быть подано в суд, рассматривавший дело в качестве суда первой инстанции, в течение трех месяцев со дня вступления в законную силу последнего судебного акта, принятием которого закончилось рассмотрение дела.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4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Нижнегорский районный суд </w:t>
      </w:r>
      <w:r>
        <w:rPr>
          <w:rStyle w:val="cat-Addressgrp-1rplc-8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8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FIOgrp-40rplc-8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>
      <w:headerReference w:type="default" r:id="rId1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3rplc-0">
    <w:name w:val="cat-Date grp-13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Dategrp-14rplc-2">
    <w:name w:val="cat-Date grp-14 rplc-2"/>
    <w:basedOn w:val="DefaultParagraphFont"/>
  </w:style>
  <w:style w:type="character" w:customStyle="1" w:styleId="cat-Dategrp-15rplc-3">
    <w:name w:val="cat-Date grp-15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33rplc-5">
    <w:name w:val="cat-FIO grp-33 rplc-5"/>
    <w:basedOn w:val="DefaultParagraphFont"/>
  </w:style>
  <w:style w:type="character" w:customStyle="1" w:styleId="cat-FIOgrp-34rplc-6">
    <w:name w:val="cat-FIO grp-34 rplc-6"/>
    <w:basedOn w:val="DefaultParagraphFont"/>
  </w:style>
  <w:style w:type="character" w:customStyle="1" w:styleId="cat-OrganizationNamegrp-45rplc-7">
    <w:name w:val="cat-OrganizationName grp-45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FIOgrp-35rplc-9">
    <w:name w:val="cat-FIO grp-35 rplc-9"/>
    <w:basedOn w:val="DefaultParagraphFont"/>
  </w:style>
  <w:style w:type="character" w:customStyle="1" w:styleId="cat-OrganizationNamegrp-45rplc-10">
    <w:name w:val="cat-OrganizationName grp-45 rplc-10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FIOgrp-36rplc-12">
    <w:name w:val="cat-FIO grp-36 rplc-12"/>
    <w:basedOn w:val="DefaultParagraphFont"/>
  </w:style>
  <w:style w:type="character" w:customStyle="1" w:styleId="cat-Sumgrp-41rplc-13">
    <w:name w:val="cat-Sum grp-41 rplc-13"/>
    <w:basedOn w:val="DefaultParagraphFont"/>
  </w:style>
  <w:style w:type="character" w:customStyle="1" w:styleId="cat-Sumgrp-42rplc-14">
    <w:name w:val="cat-Sum grp-42 rplc-14"/>
    <w:basedOn w:val="DefaultParagraphFont"/>
  </w:style>
  <w:style w:type="character" w:customStyle="1" w:styleId="cat-FIOgrp-36rplc-15">
    <w:name w:val="cat-FIO grp-36 rplc-15"/>
    <w:basedOn w:val="DefaultParagraphFont"/>
  </w:style>
  <w:style w:type="character" w:customStyle="1" w:styleId="cat-OrganizationNamegrp-46rplc-16">
    <w:name w:val="cat-OrganizationName grp-46 rplc-16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Addressgrp-4rplc-18">
    <w:name w:val="cat-Address grp-4 rplc-18"/>
    <w:basedOn w:val="DefaultParagraphFont"/>
  </w:style>
  <w:style w:type="character" w:customStyle="1" w:styleId="cat-OrganizationNamegrp-47rplc-19">
    <w:name w:val="cat-OrganizationName grp-47 rplc-19"/>
    <w:basedOn w:val="DefaultParagraphFont"/>
  </w:style>
  <w:style w:type="character" w:customStyle="1" w:styleId="cat-FIOgrp-37rplc-20">
    <w:name w:val="cat-FIO grp-37 rplc-20"/>
    <w:basedOn w:val="DefaultParagraphFont"/>
  </w:style>
  <w:style w:type="character" w:customStyle="1" w:styleId="cat-Dategrp-16rplc-21">
    <w:name w:val="cat-Date grp-16 rplc-21"/>
    <w:basedOn w:val="DefaultParagraphFont"/>
  </w:style>
  <w:style w:type="character" w:customStyle="1" w:styleId="cat-Addressgrp-5rplc-22">
    <w:name w:val="cat-Address grp-5 rplc-22"/>
    <w:basedOn w:val="DefaultParagraphFont"/>
  </w:style>
  <w:style w:type="character" w:customStyle="1" w:styleId="cat-Dategrp-17rplc-23">
    <w:name w:val="cat-Date grp-17 rplc-23"/>
    <w:basedOn w:val="DefaultParagraphFont"/>
  </w:style>
  <w:style w:type="character" w:customStyle="1" w:styleId="cat-Dategrp-18rplc-24">
    <w:name w:val="cat-Date grp-18 rplc-24"/>
    <w:basedOn w:val="DefaultParagraphFont"/>
  </w:style>
  <w:style w:type="character" w:customStyle="1" w:styleId="cat-OrganizationNamegrp-47rplc-25">
    <w:name w:val="cat-OrganizationName grp-47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Dategrp-19rplc-27">
    <w:name w:val="cat-Date grp-19 rplc-27"/>
    <w:basedOn w:val="DefaultParagraphFont"/>
  </w:style>
  <w:style w:type="character" w:customStyle="1" w:styleId="cat-Dategrp-20rplc-28">
    <w:name w:val="cat-Date grp-20 rplc-28"/>
    <w:basedOn w:val="DefaultParagraphFont"/>
  </w:style>
  <w:style w:type="character" w:customStyle="1" w:styleId="cat-Dategrp-21rplc-29">
    <w:name w:val="cat-Date grp-21 rplc-29"/>
    <w:basedOn w:val="DefaultParagraphFont"/>
  </w:style>
  <w:style w:type="character" w:customStyle="1" w:styleId="cat-Dategrp-18rplc-30">
    <w:name w:val="cat-Date grp-18 rplc-30"/>
    <w:basedOn w:val="DefaultParagraphFont"/>
  </w:style>
  <w:style w:type="character" w:customStyle="1" w:styleId="cat-Sumgrp-43rplc-31">
    <w:name w:val="cat-Sum grp-43 rplc-31"/>
    <w:basedOn w:val="DefaultParagraphFont"/>
  </w:style>
  <w:style w:type="character" w:customStyle="1" w:styleId="cat-Sumgrp-44rplc-32">
    <w:name w:val="cat-Sum grp-44 rplc-32"/>
    <w:basedOn w:val="DefaultParagraphFont"/>
  </w:style>
  <w:style w:type="character" w:customStyle="1" w:styleId="cat-Addressgrp-10rplc-33">
    <w:name w:val="cat-Address grp-10 rplc-33"/>
    <w:basedOn w:val="DefaultParagraphFont"/>
  </w:style>
  <w:style w:type="character" w:customStyle="1" w:styleId="cat-Addressgrp-11rplc-34">
    <w:name w:val="cat-Address grp-11 rplc-34"/>
    <w:basedOn w:val="DefaultParagraphFont"/>
  </w:style>
  <w:style w:type="character" w:customStyle="1" w:styleId="cat-Dategrp-22rplc-35">
    <w:name w:val="cat-Date grp-22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10rplc-39">
    <w:name w:val="cat-Address grp-10 rplc-39"/>
    <w:basedOn w:val="DefaultParagraphFont"/>
  </w:style>
  <w:style w:type="character" w:customStyle="1" w:styleId="cat-Addressgrp-12rplc-40">
    <w:name w:val="cat-Address grp-12 rplc-40"/>
    <w:basedOn w:val="DefaultParagraphFont"/>
  </w:style>
  <w:style w:type="character" w:customStyle="1" w:styleId="cat-Dategrp-23rplc-41">
    <w:name w:val="cat-Date grp-23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OrganizationNamegrp-45rplc-44">
    <w:name w:val="cat-OrganizationName grp-45 rplc-44"/>
    <w:basedOn w:val="DefaultParagraphFont"/>
  </w:style>
  <w:style w:type="character" w:customStyle="1" w:styleId="cat-Dategrp-24rplc-45">
    <w:name w:val="cat-Date grp-24 rplc-45"/>
    <w:basedOn w:val="DefaultParagraphFont"/>
  </w:style>
  <w:style w:type="character" w:customStyle="1" w:styleId="cat-OrganizationNamegrp-48rplc-46">
    <w:name w:val="cat-OrganizationName grp-48 rplc-46"/>
    <w:basedOn w:val="DefaultParagraphFont"/>
  </w:style>
  <w:style w:type="character" w:customStyle="1" w:styleId="cat-OrganizationNamegrp-49rplc-47">
    <w:name w:val="cat-OrganizationName grp-49 rplc-47"/>
    <w:basedOn w:val="DefaultParagraphFont"/>
  </w:style>
  <w:style w:type="character" w:customStyle="1" w:styleId="cat-FIOgrp-38rplc-48">
    <w:name w:val="cat-FIO grp-38 rplc-48"/>
    <w:basedOn w:val="DefaultParagraphFont"/>
  </w:style>
  <w:style w:type="character" w:customStyle="1" w:styleId="cat-FIOgrp-36rplc-49">
    <w:name w:val="cat-FIO grp-36 rplc-49"/>
    <w:basedOn w:val="DefaultParagraphFont"/>
  </w:style>
  <w:style w:type="character" w:customStyle="1" w:styleId="cat-FIOgrp-36rplc-50">
    <w:name w:val="cat-FIO grp-36 rplc-50"/>
    <w:basedOn w:val="DefaultParagraphFont"/>
  </w:style>
  <w:style w:type="character" w:customStyle="1" w:styleId="cat-OrganizationNamegrp-46rplc-51">
    <w:name w:val="cat-OrganizationName grp-46 rplc-51"/>
    <w:basedOn w:val="DefaultParagraphFont"/>
  </w:style>
  <w:style w:type="character" w:customStyle="1" w:styleId="cat-Addressgrp-6rplc-52">
    <w:name w:val="cat-Address grp-6 rplc-52"/>
    <w:basedOn w:val="DefaultParagraphFont"/>
  </w:style>
  <w:style w:type="character" w:customStyle="1" w:styleId="cat-Addressgrp-7rplc-53">
    <w:name w:val="cat-Address grp-7 rplc-53"/>
    <w:basedOn w:val="DefaultParagraphFont"/>
  </w:style>
  <w:style w:type="character" w:customStyle="1" w:styleId="cat-FIOgrp-37rplc-54">
    <w:name w:val="cat-FIO grp-37 rplc-54"/>
    <w:basedOn w:val="DefaultParagraphFont"/>
  </w:style>
  <w:style w:type="character" w:customStyle="1" w:styleId="cat-FIOgrp-39rplc-55">
    <w:name w:val="cat-FIO grp-39 rplc-55"/>
    <w:basedOn w:val="DefaultParagraphFont"/>
  </w:style>
  <w:style w:type="character" w:customStyle="1" w:styleId="cat-Dategrp-25rplc-56">
    <w:name w:val="cat-Date grp-25 rplc-56"/>
    <w:basedOn w:val="DefaultParagraphFont"/>
  </w:style>
  <w:style w:type="character" w:customStyle="1" w:styleId="cat-FIOgrp-36rplc-57">
    <w:name w:val="cat-FIO grp-36 rplc-57"/>
    <w:basedOn w:val="DefaultParagraphFont"/>
  </w:style>
  <w:style w:type="character" w:customStyle="1" w:styleId="cat-Dategrp-26rplc-58">
    <w:name w:val="cat-Date grp-26 rplc-58"/>
    <w:basedOn w:val="DefaultParagraphFont"/>
  </w:style>
  <w:style w:type="character" w:customStyle="1" w:styleId="cat-Dategrp-27rplc-59">
    <w:name w:val="cat-Date grp-27 rplc-59"/>
    <w:basedOn w:val="DefaultParagraphFont"/>
  </w:style>
  <w:style w:type="character" w:customStyle="1" w:styleId="cat-Addressgrp-8rplc-60">
    <w:name w:val="cat-Address grp-8 rplc-60"/>
    <w:basedOn w:val="DefaultParagraphFont"/>
  </w:style>
  <w:style w:type="character" w:customStyle="1" w:styleId="cat-Addressgrp-9rplc-61">
    <w:name w:val="cat-Address grp-9 rplc-61"/>
    <w:basedOn w:val="DefaultParagraphFont"/>
  </w:style>
  <w:style w:type="character" w:customStyle="1" w:styleId="cat-Dategrp-18rplc-62">
    <w:name w:val="cat-Date grp-18 rplc-62"/>
    <w:basedOn w:val="DefaultParagraphFont"/>
  </w:style>
  <w:style w:type="character" w:customStyle="1" w:styleId="cat-OrganizationNamegrp-47rplc-63">
    <w:name w:val="cat-OrganizationName grp-47 rplc-63"/>
    <w:basedOn w:val="DefaultParagraphFont"/>
  </w:style>
  <w:style w:type="character" w:customStyle="1" w:styleId="cat-Dategrp-21rplc-64">
    <w:name w:val="cat-Date grp-21 rplc-64"/>
    <w:basedOn w:val="DefaultParagraphFont"/>
  </w:style>
  <w:style w:type="character" w:customStyle="1" w:styleId="cat-Dategrp-18rplc-65">
    <w:name w:val="cat-Date grp-18 rplc-65"/>
    <w:basedOn w:val="DefaultParagraphFont"/>
  </w:style>
  <w:style w:type="character" w:customStyle="1" w:styleId="cat-Sumgrp-43rplc-66">
    <w:name w:val="cat-Sum grp-43 rplc-66"/>
    <w:basedOn w:val="DefaultParagraphFont"/>
  </w:style>
  <w:style w:type="character" w:customStyle="1" w:styleId="cat-Dategrp-24rplc-67">
    <w:name w:val="cat-Date grp-24 rplc-67"/>
    <w:basedOn w:val="DefaultParagraphFont"/>
  </w:style>
  <w:style w:type="character" w:customStyle="1" w:styleId="cat-OrganizationNamegrp-48rplc-68">
    <w:name w:val="cat-OrganizationName grp-48 rplc-68"/>
    <w:basedOn w:val="DefaultParagraphFont"/>
  </w:style>
  <w:style w:type="character" w:customStyle="1" w:styleId="cat-OrganizationNamegrp-49rplc-69">
    <w:name w:val="cat-OrganizationName grp-49 rplc-69"/>
    <w:basedOn w:val="DefaultParagraphFont"/>
  </w:style>
  <w:style w:type="character" w:customStyle="1" w:styleId="cat-Dategrp-27rplc-70">
    <w:name w:val="cat-Date grp-27 rplc-70"/>
    <w:basedOn w:val="DefaultParagraphFont"/>
  </w:style>
  <w:style w:type="character" w:customStyle="1" w:styleId="cat-Dategrp-27rplc-71">
    <w:name w:val="cat-Date grp-27 rplc-71"/>
    <w:basedOn w:val="DefaultParagraphFont"/>
  </w:style>
  <w:style w:type="character" w:customStyle="1" w:styleId="cat-Dategrp-27rplc-72">
    <w:name w:val="cat-Date grp-27 rplc-72"/>
    <w:basedOn w:val="DefaultParagraphFont"/>
  </w:style>
  <w:style w:type="character" w:customStyle="1" w:styleId="cat-Dategrp-28rplc-73">
    <w:name w:val="cat-Date grp-28 rplc-73"/>
    <w:basedOn w:val="DefaultParagraphFont"/>
  </w:style>
  <w:style w:type="character" w:customStyle="1" w:styleId="cat-Dategrp-29rplc-74">
    <w:name w:val="cat-Date grp-29 rplc-74"/>
    <w:basedOn w:val="DefaultParagraphFont"/>
  </w:style>
  <w:style w:type="character" w:customStyle="1" w:styleId="cat-Dategrp-31rplc-75">
    <w:name w:val="cat-Date grp-31 rplc-75"/>
    <w:basedOn w:val="DefaultParagraphFont"/>
  </w:style>
  <w:style w:type="character" w:customStyle="1" w:styleId="cat-OrganizationNamegrp-48rplc-76">
    <w:name w:val="cat-OrganizationName grp-48 rplc-76"/>
    <w:basedOn w:val="DefaultParagraphFont"/>
  </w:style>
  <w:style w:type="character" w:customStyle="1" w:styleId="cat-Dategrp-29rplc-77">
    <w:name w:val="cat-Date grp-29 rplc-77"/>
    <w:basedOn w:val="DefaultParagraphFont"/>
  </w:style>
  <w:style w:type="character" w:customStyle="1" w:styleId="cat-Dategrp-30rplc-78">
    <w:name w:val="cat-Date grp-30 rplc-78"/>
    <w:basedOn w:val="DefaultParagraphFont"/>
  </w:style>
  <w:style w:type="character" w:customStyle="1" w:styleId="cat-Dategrp-32rplc-79">
    <w:name w:val="cat-Date grp-32 rplc-79"/>
    <w:basedOn w:val="DefaultParagraphFont"/>
  </w:style>
  <w:style w:type="character" w:customStyle="1" w:styleId="cat-OrganizationNamegrp-45rplc-80">
    <w:name w:val="cat-OrganizationName grp-45 rplc-80"/>
    <w:basedOn w:val="DefaultParagraphFont"/>
  </w:style>
  <w:style w:type="character" w:customStyle="1" w:styleId="cat-Addressgrp-2rplc-81">
    <w:name w:val="cat-Address grp-2 rplc-81"/>
    <w:basedOn w:val="DefaultParagraphFont"/>
  </w:style>
  <w:style w:type="character" w:customStyle="1" w:styleId="cat-FIOgrp-36rplc-82">
    <w:name w:val="cat-FIO grp-36 rplc-82"/>
    <w:basedOn w:val="DefaultParagraphFont"/>
  </w:style>
  <w:style w:type="character" w:customStyle="1" w:styleId="cat-OrganizationNamegrp-50rplc-83">
    <w:name w:val="cat-OrganizationName grp-50 rplc-83"/>
    <w:basedOn w:val="DefaultParagraphFont"/>
  </w:style>
  <w:style w:type="character" w:customStyle="1" w:styleId="cat-FIOgrp-35rplc-84">
    <w:name w:val="cat-FIO grp-35 rplc-84"/>
    <w:basedOn w:val="DefaultParagraphFont"/>
  </w:style>
  <w:style w:type="character" w:customStyle="1" w:styleId="cat-Addressgrp-1rplc-85">
    <w:name w:val="cat-Address grp-1 rplc-85"/>
    <w:basedOn w:val="DefaultParagraphFont"/>
  </w:style>
  <w:style w:type="character" w:customStyle="1" w:styleId="cat-Addressgrp-1rplc-86">
    <w:name w:val="cat-Address grp-1 rplc-86"/>
    <w:basedOn w:val="DefaultParagraphFont"/>
  </w:style>
  <w:style w:type="character" w:customStyle="1" w:styleId="cat-FIOgrp-40rplc-87">
    <w:name w:val="cat-FIO grp-40 rplc-8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FAB6526B6D3A02535B3BB781F7339DB51994645B0AB8EE586EC8455E45E3E843DBC08FDB8520577806B2BF76A40AA55CED77C96CECr6oAK" TargetMode="External" /><Relationship Id="rId11" Type="http://schemas.openxmlformats.org/officeDocument/2006/relationships/hyperlink" Target="consultantplus://offline/ref=37A3A386848B42FDDB18676A2A8C7D068E5BD807E534A93EBBBA878B60EB33703DFED31B6373583526319562FB4443264266F181190B9A98vEcDI" TargetMode="External" /><Relationship Id="rId12" Type="http://schemas.openxmlformats.org/officeDocument/2006/relationships/hyperlink" Target="consultantplus://offline/ref=37A3A386848B42FDDB18676A2A8C7D068E5BD807E534A93EBBBA878B60EB33703DFED31B637356312A319562FB4443264266F181190B9A98vEcDI" TargetMode="External" /><Relationship Id="rId13" Type="http://schemas.openxmlformats.org/officeDocument/2006/relationships/hyperlink" Target="consultantplus://offline/ref=37A3A386848B42FDDB18676A2A8C7D068E5BD807E534A93EBBBA878B60EB33703DFED31B63735B3427319562FB4443264266F181190B9A98vEcDI" TargetMode="External" /><Relationship Id="rId14" Type="http://schemas.openxmlformats.org/officeDocument/2006/relationships/header" Target="header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7A3A386848B42FDDB18676A2A8C7D068E5AD105E03EA93EBBBA878B60EB33703DFED31B63725F3427319562FB4443264266F181190B9A98vEcDI" TargetMode="External" /><Relationship Id="rId5" Type="http://schemas.openxmlformats.org/officeDocument/2006/relationships/hyperlink" Target="consultantplus://offline/ref=37A3A386848B42FDDB18676A2A8C7D068E5AD105E03EA93EBBBA878B60EB33703DFED31F637A5467737E943EBD1750244066F38505v0c8I" TargetMode="External" /><Relationship Id="rId6" Type="http://schemas.openxmlformats.org/officeDocument/2006/relationships/hyperlink" Target="consultantplus://offline/ref=37A3A386848B42FDDB18676A2A8C7D068E5AD105E03EA93EBBBA878B60EB33703DFED31F62775467737E943EBD1750244066F38505v0c8I" TargetMode="External" /><Relationship Id="rId7" Type="http://schemas.openxmlformats.org/officeDocument/2006/relationships/hyperlink" Target="consultantplus://offline/ref=37A3A386848B42FDDB18676A2A8C7D068E5AD105E03EA93EBBBA878B60EB33703DFED31F62765467737E943EBD1750244066F38505v0c8I" TargetMode="External" /><Relationship Id="rId8" Type="http://schemas.openxmlformats.org/officeDocument/2006/relationships/hyperlink" Target="consultantplus://offline/ref=37A3A386848B42FDDB18676A2A8C7D068E5AD105E03EA93EBBBA878B60EB33703DFED31B63725F3B25319562FB4443264266F181190B9A98vEcDI" TargetMode="External" /><Relationship Id="rId9" Type="http://schemas.openxmlformats.org/officeDocument/2006/relationships/hyperlink" Target="consultantplus://offline/ref=37A3A386848B42FDDB18676A2A8C7D068E5BD807E534A93EBBBA878B60EB33703DFED31B63735D3522319562FB4443264266F181190B9A98vEcDI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